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506E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506E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506E2">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3D749A0" w14:textId="31BA61FA" w:rsidR="00DC5B8D" w:rsidRPr="005A5C5A" w:rsidRDefault="005A5C5A" w:rsidP="00CD2292">
      <w:pPr>
        <w:pStyle w:val="CETTitle"/>
      </w:pPr>
      <w:r>
        <w:t>Effects of Composition, Structure</w:t>
      </w:r>
      <w:r w:rsidR="00F27DE3">
        <w:t xml:space="preserve"> of Amine</w:t>
      </w:r>
      <w:r>
        <w:t>, Pressure and T</w:t>
      </w:r>
      <w:r w:rsidRPr="005A5C5A">
        <w:t>emperature on CO</w:t>
      </w:r>
      <w:r w:rsidRPr="005A5C5A">
        <w:rPr>
          <w:vertAlign w:val="subscript"/>
        </w:rPr>
        <w:t>2</w:t>
      </w:r>
      <w:r>
        <w:t xml:space="preserve"> Capture Efficiency and C</w:t>
      </w:r>
      <w:r w:rsidRPr="005A5C5A">
        <w:t xml:space="preserve">orrosion of </w:t>
      </w:r>
      <w:r>
        <w:t>Carbon Steels Using Amine-Based Solvents: A R</w:t>
      </w:r>
      <w:r w:rsidRPr="005A5C5A">
        <w:t>eview</w:t>
      </w:r>
      <w:r w:rsidR="00DC5B8D" w:rsidRPr="005A5C5A">
        <w:t xml:space="preserve"> </w:t>
      </w:r>
    </w:p>
    <w:p w14:paraId="1DB7BB18" w14:textId="1515D2F4" w:rsidR="009506E2" w:rsidRPr="005A5C5A" w:rsidRDefault="009506E2" w:rsidP="009506E2">
      <w:pPr>
        <w:pStyle w:val="CETAuthors"/>
        <w:rPr>
          <w:lang w:val="es-CO"/>
        </w:rPr>
      </w:pPr>
      <w:r w:rsidRPr="005A5C5A">
        <w:rPr>
          <w:lang w:val="es-CO"/>
        </w:rPr>
        <w:t>Juan Orozco-Agamez</w:t>
      </w:r>
      <w:r w:rsidRPr="005A5C5A">
        <w:rPr>
          <w:vertAlign w:val="superscript"/>
          <w:lang w:val="es-CO"/>
        </w:rPr>
        <w:t>a,*</w:t>
      </w:r>
      <w:r w:rsidRPr="005A5C5A">
        <w:rPr>
          <w:lang w:val="es-CO"/>
        </w:rPr>
        <w:t xml:space="preserve">, </w:t>
      </w:r>
      <w:r w:rsidR="00DC5B8D" w:rsidRPr="005A5C5A">
        <w:rPr>
          <w:lang w:val="es-CO"/>
        </w:rPr>
        <w:t>Diego Tirado</w:t>
      </w:r>
      <w:r w:rsidRPr="005A5C5A">
        <w:rPr>
          <w:vertAlign w:val="superscript"/>
          <w:lang w:val="es-CO"/>
        </w:rPr>
        <w:t>a</w:t>
      </w:r>
      <w:r w:rsidR="00DC5B8D" w:rsidRPr="005A5C5A">
        <w:rPr>
          <w:lang w:val="es-CO"/>
        </w:rPr>
        <w:t>, Luis Umaña</w:t>
      </w:r>
      <w:r w:rsidR="009848C5" w:rsidRPr="005A5C5A">
        <w:rPr>
          <w:vertAlign w:val="superscript"/>
          <w:lang w:val="es-CO"/>
        </w:rPr>
        <w:t>a</w:t>
      </w:r>
      <w:r w:rsidRPr="005A5C5A">
        <w:rPr>
          <w:lang w:val="es-CO"/>
        </w:rPr>
        <w:t>, Anibal Alviz-Meza</w:t>
      </w:r>
      <w:r w:rsidR="00E007E0">
        <w:rPr>
          <w:vertAlign w:val="superscript"/>
          <w:lang w:val="es-CO"/>
        </w:rPr>
        <w:t>b</w:t>
      </w:r>
      <w:r w:rsidRPr="005A5C5A">
        <w:rPr>
          <w:lang w:val="es-CO"/>
        </w:rPr>
        <w:t xml:space="preserve">, </w:t>
      </w:r>
      <w:r w:rsidR="00E007E0">
        <w:rPr>
          <w:lang w:val="es-CO"/>
        </w:rPr>
        <w:t>Sandra Garcia</w:t>
      </w:r>
      <w:r w:rsidR="00E007E0">
        <w:rPr>
          <w:vertAlign w:val="superscript"/>
          <w:lang w:val="es-CO"/>
        </w:rPr>
        <w:t>a</w:t>
      </w:r>
      <w:r w:rsidRPr="005A5C5A">
        <w:rPr>
          <w:lang w:val="es-CO"/>
        </w:rPr>
        <w:t>, Darío Peña</w:t>
      </w:r>
      <w:r w:rsidRPr="005A5C5A">
        <w:rPr>
          <w:vertAlign w:val="superscript"/>
          <w:lang w:val="es-CO"/>
        </w:rPr>
        <w:t>a</w:t>
      </w:r>
    </w:p>
    <w:tbl>
      <w:tblPr>
        <w:tblStyle w:val="Tablaconcuadrcula"/>
        <w:tblW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8650"/>
      </w:tblGrid>
      <w:tr w:rsidR="009506E2" w:rsidRPr="00F938E2" w14:paraId="34ECD349" w14:textId="77777777" w:rsidTr="00221E42">
        <w:tc>
          <w:tcPr>
            <w:tcW w:w="96" w:type="dxa"/>
          </w:tcPr>
          <w:tbl>
            <w:tblPr>
              <w:tblStyle w:val="Tablaconcuadrcula"/>
              <w:tblW w:w="8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514"/>
            </w:tblGrid>
            <w:tr w:rsidR="009506E2" w:rsidRPr="00B54B73" w14:paraId="12A2FCAE" w14:textId="77777777" w:rsidTr="008A08B2">
              <w:tc>
                <w:tcPr>
                  <w:tcW w:w="96" w:type="dxa"/>
                </w:tcPr>
                <w:p w14:paraId="2C9156EB" w14:textId="77777777" w:rsidR="009506E2" w:rsidRPr="009D2CF0" w:rsidRDefault="009506E2" w:rsidP="00221E42">
                  <w:pPr>
                    <w:pStyle w:val="CETAddress"/>
                    <w:rPr>
                      <w:vertAlign w:val="superscript"/>
                    </w:rPr>
                  </w:pPr>
                  <w:r w:rsidRPr="009D2CF0">
                    <w:rPr>
                      <w:vertAlign w:val="superscript"/>
                    </w:rPr>
                    <w:t>a</w:t>
                  </w:r>
                </w:p>
              </w:tc>
              <w:tc>
                <w:tcPr>
                  <w:tcW w:w="8514" w:type="dxa"/>
                </w:tcPr>
                <w:p w14:paraId="5EC04EFC" w14:textId="77777777" w:rsidR="009506E2" w:rsidRPr="003A6798" w:rsidRDefault="009506E2" w:rsidP="00221E42">
                  <w:pPr>
                    <w:pStyle w:val="CETAddress"/>
                    <w:rPr>
                      <w:lang w:val="es-CO"/>
                    </w:rPr>
                  </w:pPr>
                  <w:r w:rsidRPr="003A6798">
                    <w:rPr>
                      <w:lang w:val="es-CO"/>
                    </w:rPr>
                    <w:t>Universidad Industrial Santander</w:t>
                  </w:r>
                  <w:r>
                    <w:rPr>
                      <w:lang w:val="es-CO"/>
                    </w:rPr>
                    <w:t xml:space="preserve">, </w:t>
                  </w:r>
                  <w:r w:rsidRPr="003A6798">
                    <w:rPr>
                      <w:lang w:val="es-CO"/>
                    </w:rPr>
                    <w:t>Escuela de Ingeniería Metalúrgica y Ciencia de los Materiales</w:t>
                  </w:r>
                  <w:r>
                    <w:rPr>
                      <w:lang w:val="es-CO"/>
                    </w:rPr>
                    <w:t xml:space="preserve">, </w:t>
                  </w:r>
                  <w:r w:rsidRPr="003A6798">
                    <w:rPr>
                      <w:lang w:val="es-CO"/>
                    </w:rPr>
                    <w:t>Grupo de Investigaciones en Corrosión</w:t>
                  </w:r>
                  <w:r>
                    <w:rPr>
                      <w:lang w:val="es-CO"/>
                    </w:rPr>
                    <w:t xml:space="preserve"> – GIC, </w:t>
                  </w:r>
                  <w:r w:rsidRPr="00616CE3">
                    <w:rPr>
                      <w:rStyle w:val="CETAddressCarattere"/>
                      <w:lang w:val="es-CO"/>
                    </w:rPr>
                    <w:t>cra 27 calle 9, Bucaramanga –Santander, Colombia</w:t>
                  </w:r>
                </w:p>
              </w:tc>
            </w:tr>
            <w:tr w:rsidR="009506E2" w:rsidRPr="00B54B73" w14:paraId="57F95011" w14:textId="77777777" w:rsidTr="008A08B2">
              <w:trPr>
                <w:trHeight w:val="60"/>
              </w:trPr>
              <w:tc>
                <w:tcPr>
                  <w:tcW w:w="96" w:type="dxa"/>
                </w:tcPr>
                <w:p w14:paraId="03122948" w14:textId="383E4520" w:rsidR="009506E2" w:rsidRPr="00855B6B" w:rsidRDefault="00E007E0" w:rsidP="00221E42">
                  <w:pPr>
                    <w:pStyle w:val="CETAddress"/>
                    <w:rPr>
                      <w:vertAlign w:val="superscript"/>
                      <w:lang w:val="es-ES"/>
                    </w:rPr>
                  </w:pPr>
                  <w:r>
                    <w:rPr>
                      <w:vertAlign w:val="superscript"/>
                      <w:lang w:val="es-CO"/>
                    </w:rPr>
                    <w:t>b</w:t>
                  </w:r>
                </w:p>
              </w:tc>
              <w:tc>
                <w:tcPr>
                  <w:tcW w:w="8514" w:type="dxa"/>
                </w:tcPr>
                <w:p w14:paraId="6AC6640E" w14:textId="77777777" w:rsidR="009506E2" w:rsidRPr="003A6798" w:rsidRDefault="009506E2" w:rsidP="00221E42">
                  <w:pPr>
                    <w:pStyle w:val="CETAddress"/>
                    <w:rPr>
                      <w:lang w:val="es-CO"/>
                    </w:rPr>
                  </w:pPr>
                  <w:r w:rsidRPr="004E1903">
                    <w:rPr>
                      <w:lang w:val="es-CO"/>
                    </w:rPr>
                    <w:t>Universidad Señor de Sipán, Facultad de Ingeniería, Arquitectura y Urbanismo, Grupo de investigación en Deterioro de Materiales, Transición energética y Ciencia de Datos DANT3, Km. 5 via Pimentel, Chiclayo, Perú</w:t>
                  </w:r>
                </w:p>
              </w:tc>
            </w:tr>
            <w:tr w:rsidR="009506E2" w:rsidRPr="00F938E2" w14:paraId="2F9AFB67" w14:textId="77777777" w:rsidTr="008A08B2">
              <w:tc>
                <w:tcPr>
                  <w:tcW w:w="96" w:type="dxa"/>
                </w:tcPr>
                <w:p w14:paraId="12818AFF" w14:textId="77777777" w:rsidR="009506E2" w:rsidRPr="00B54118" w:rsidRDefault="009506E2" w:rsidP="00221E42">
                  <w:pPr>
                    <w:pStyle w:val="CETemail"/>
                    <w:rPr>
                      <w:color w:val="000000" w:themeColor="text1"/>
                      <w:vertAlign w:val="superscript"/>
                      <w:lang w:val="es-CO"/>
                    </w:rPr>
                  </w:pPr>
                </w:p>
              </w:tc>
              <w:tc>
                <w:tcPr>
                  <w:tcW w:w="8514" w:type="dxa"/>
                </w:tcPr>
                <w:p w14:paraId="26C97C97" w14:textId="77777777" w:rsidR="0066025E" w:rsidRPr="008A08B2" w:rsidRDefault="00C64B99" w:rsidP="0066025E">
                  <w:pPr>
                    <w:pStyle w:val="CETBodytext"/>
                    <w:rPr>
                      <w:lang w:val="es-CO"/>
                    </w:rPr>
                  </w:pPr>
                  <w:hyperlink r:id="rId10" w:history="1">
                    <w:r w:rsidR="009506E2" w:rsidRPr="008A08B2">
                      <w:rPr>
                        <w:sz w:val="16"/>
                        <w:lang w:val="es-CO"/>
                      </w:rPr>
                      <w:t>juan.orozco1@correo.uis.edu.co</w:t>
                    </w:r>
                  </w:hyperlink>
                </w:p>
                <w:p w14:paraId="738090DC" w14:textId="77777777" w:rsidR="0066025E" w:rsidRPr="008A08B2" w:rsidRDefault="0066025E" w:rsidP="0066025E">
                  <w:pPr>
                    <w:pStyle w:val="CETBodytext"/>
                    <w:rPr>
                      <w:lang w:val="es-CO"/>
                    </w:rPr>
                  </w:pPr>
                </w:p>
                <w:p w14:paraId="0EBE24EB" w14:textId="7C76D3AD" w:rsidR="004B0704" w:rsidRPr="008A08B2" w:rsidRDefault="00977450" w:rsidP="00BD15CB">
                  <w:pPr>
                    <w:pStyle w:val="CETBodytext"/>
                    <w:rPr>
                      <w:lang w:val="en-GB"/>
                    </w:rPr>
                  </w:pPr>
                  <w:r w:rsidRPr="00977450">
                    <w:rPr>
                      <w:lang w:val="en-GB"/>
                    </w:rPr>
                    <w:t>The emission of carbon dioxide (CO</w:t>
                  </w:r>
                  <w:r w:rsidRPr="00977450">
                    <w:rPr>
                      <w:vertAlign w:val="subscript"/>
                      <w:lang w:val="en-GB"/>
                    </w:rPr>
                    <w:t>2</w:t>
                  </w:r>
                  <w:r w:rsidRPr="00977450">
                    <w:rPr>
                      <w:lang w:val="en-GB"/>
                    </w:rPr>
                    <w:t>) into the atmosphere is a significant environmental problem. Many technologies are proposed and implemented to sequester CO</w:t>
                  </w:r>
                  <w:r w:rsidRPr="00977450">
                    <w:rPr>
                      <w:vertAlign w:val="subscript"/>
                      <w:lang w:val="en-GB"/>
                    </w:rPr>
                    <w:t>2</w:t>
                  </w:r>
                  <w:r w:rsidRPr="00977450">
                    <w:rPr>
                      <w:lang w:val="en-GB"/>
                    </w:rPr>
                    <w:t xml:space="preserve"> before it is released into the atmosphere. For capturing carbon dioxide (CO</w:t>
                  </w:r>
                  <w:r w:rsidRPr="00977450">
                    <w:rPr>
                      <w:vertAlign w:val="subscript"/>
                      <w:lang w:val="en-GB"/>
                    </w:rPr>
                    <w:t>2</w:t>
                  </w:r>
                  <w:r w:rsidRPr="00977450">
                    <w:rPr>
                      <w:lang w:val="en-GB"/>
                    </w:rPr>
                    <w:t>) from exhaust gas and syngas streams in all industrial processes and combustion, chemical absorption using amine-based solvents has shown to be the most studied, reliable, and efficient technology. As a result of the dissolution of CO</w:t>
                  </w:r>
                  <w:r w:rsidRPr="00977450">
                    <w:rPr>
                      <w:vertAlign w:val="subscript"/>
                      <w:lang w:val="en-GB"/>
                    </w:rPr>
                    <w:t>2</w:t>
                  </w:r>
                  <w:r w:rsidRPr="00977450">
                    <w:rPr>
                      <w:lang w:val="en-GB"/>
                    </w:rPr>
                    <w:t xml:space="preserve"> gas and its reaction with the amine solvents, the solution becomes corrosive. This undesirable phenomenon creates a corrosion problem in the absorption column, usually carbon steel. Th</w:t>
                  </w:r>
                  <w:r w:rsidR="00BD15CB">
                    <w:rPr>
                      <w:lang w:val="en-GB"/>
                    </w:rPr>
                    <w:t>is review paper aim</w:t>
                  </w:r>
                  <w:r w:rsidRPr="00977450">
                    <w:rPr>
                      <w:lang w:val="en-GB"/>
                    </w:rPr>
                    <w:t>s to understand the effects of the variables amine composition in the solution, amine structure, pressure, and temperature on the efficiency of CO</w:t>
                  </w:r>
                  <w:r w:rsidRPr="00977450">
                    <w:rPr>
                      <w:vertAlign w:val="subscript"/>
                      <w:lang w:val="en-GB"/>
                    </w:rPr>
                    <w:t>2</w:t>
                  </w:r>
                  <w:r w:rsidRPr="00977450">
                    <w:rPr>
                      <w:lang w:val="en-GB"/>
                    </w:rPr>
                    <w:t xml:space="preserve"> capture and corrosion of carbon steels using chemical absorption technolo</w:t>
                  </w:r>
                  <w:r w:rsidR="00BD15CB">
                    <w:rPr>
                      <w:lang w:val="en-GB"/>
                    </w:rPr>
                    <w:t>gy using amine-based solvents</w:t>
                  </w:r>
                  <w:r w:rsidR="000768AF" w:rsidRPr="008A08B2">
                    <w:rPr>
                      <w:lang w:val="en-GB"/>
                    </w:rPr>
                    <w:t>.</w:t>
                  </w:r>
                </w:p>
              </w:tc>
            </w:tr>
          </w:tbl>
          <w:p w14:paraId="67AB6273" w14:textId="77777777" w:rsidR="009506E2" w:rsidRPr="00F938E2" w:rsidRDefault="009506E2" w:rsidP="00221E42">
            <w:pPr>
              <w:pStyle w:val="CETemail"/>
              <w:rPr>
                <w:noProof w:val="0"/>
                <w:sz w:val="18"/>
                <w:u w:val="single"/>
                <w:lang w:val="en-US"/>
              </w:rPr>
            </w:pPr>
          </w:p>
        </w:tc>
      </w:tr>
    </w:tbl>
    <w:p w14:paraId="4920F9E2" w14:textId="4CFBDE37" w:rsidR="009506E2" w:rsidRDefault="008A08B2" w:rsidP="008A08B2">
      <w:pPr>
        <w:pStyle w:val="CETHeading1"/>
        <w:rPr>
          <w:lang w:val="en-GB"/>
        </w:rPr>
      </w:pPr>
      <w:r>
        <w:rPr>
          <w:lang w:val="en-GB"/>
        </w:rPr>
        <w:t xml:space="preserve">1. </w:t>
      </w:r>
      <w:r w:rsidR="009506E2" w:rsidRPr="00B57B36">
        <w:rPr>
          <w:lang w:val="en-GB"/>
        </w:rPr>
        <w:t>Introduction</w:t>
      </w:r>
    </w:p>
    <w:p w14:paraId="471E817E" w14:textId="0781F13A" w:rsidR="00977450" w:rsidRDefault="00977450" w:rsidP="00DC41DA">
      <w:pPr>
        <w:pStyle w:val="CETBodytext"/>
      </w:pPr>
      <w:r w:rsidRPr="00977450">
        <w:t xml:space="preserve">The generation and emission of greenhouse gases represent a major global problem due to the negative environmental impact </w:t>
      </w:r>
      <w:r w:rsidR="00BD15CB">
        <w:t>of</w:t>
      </w:r>
      <w:r w:rsidRPr="00977450">
        <w:t xml:space="preserve"> greenhouse gases, such as global warming and climate change (Cao et </w:t>
      </w:r>
      <w:r w:rsidR="00BD15CB">
        <w:t xml:space="preserve">al., 2021). 76 </w:t>
      </w:r>
      <w:r w:rsidRPr="00977450">
        <w:t>% of greenhouse gases (GHG) worldwide come from carbon dioxide (CO</w:t>
      </w:r>
      <w:r w:rsidRPr="00BD15CB">
        <w:rPr>
          <w:vertAlign w:val="subscript"/>
        </w:rPr>
        <w:t>2</w:t>
      </w:r>
      <w:r w:rsidRPr="00977450">
        <w:t xml:space="preserve">). Carbon dioxide emissions are now a </w:t>
      </w:r>
      <w:r w:rsidR="00BD15CB">
        <w:t>severe global</w:t>
      </w:r>
      <w:r w:rsidRPr="00977450">
        <w:t xml:space="preserve"> concern (Aghel et al., 2022). Carbon dioxide emissions into the atmosphere have reached a maximum of 36 billion tons per year (versus 6 billion tons in 1950). Carbon dioxide is mainly produced by burning fossil fuels (coal, natural gas, and oil) (Dash et al., 2022). To comply with the Paris Agreement, net greenhouse gas emissions must be zero or negative by 2050 to keep global warming below 1.5 – 2 ºC compared to pre-industrial levels (Fernandez, 2022). The world community faces two opposing challenges: increasing global energy consumption that allows energy security and mitigating climate change (Helei et al., 2021). In this way, countries are currently </w:t>
      </w:r>
      <w:r w:rsidR="00BD15CB">
        <w:t>focusing on implementing CO</w:t>
      </w:r>
      <w:r w:rsidR="00BD15CB" w:rsidRPr="00BD15CB">
        <w:rPr>
          <w:vertAlign w:val="subscript"/>
        </w:rPr>
        <w:t>2</w:t>
      </w:r>
      <w:r w:rsidR="00BD15CB">
        <w:t xml:space="preserve"> capture and sequestration technologies to comply with environmental regulations and slow</w:t>
      </w:r>
      <w:r w:rsidRPr="00977450">
        <w:t xml:space="preserve"> global warming.</w:t>
      </w:r>
    </w:p>
    <w:p w14:paraId="3B5B3243" w14:textId="56C063CE" w:rsidR="00B54B73" w:rsidRDefault="00977450" w:rsidP="00B54B73">
      <w:r w:rsidRPr="00977450">
        <w:t>CO</w:t>
      </w:r>
      <w:r w:rsidRPr="00BD15CB">
        <w:rPr>
          <w:vertAlign w:val="subscript"/>
        </w:rPr>
        <w:t>2</w:t>
      </w:r>
      <w:r w:rsidRPr="00977450">
        <w:t xml:space="preserve"> capture using amines has become a popular technology due to the advantages of chemical absorption and the fact that it is a cyclic process. Amine-based solvents for post-combustion CO</w:t>
      </w:r>
      <w:r w:rsidRPr="00BD15CB">
        <w:rPr>
          <w:vertAlign w:val="subscript"/>
        </w:rPr>
        <w:t>2</w:t>
      </w:r>
      <w:r w:rsidRPr="00977450">
        <w:t xml:space="preserve"> capture ha</w:t>
      </w:r>
      <w:r w:rsidR="00BD15CB">
        <w:t>ve</w:t>
      </w:r>
      <w:r w:rsidRPr="00977450">
        <w:t xml:space="preserve"> the </w:t>
      </w:r>
      <w:r w:rsidR="00BD15CB">
        <w:t>benefit</w:t>
      </w:r>
      <w:r w:rsidRPr="00977450">
        <w:t xml:space="preserve"> of directly removing CO</w:t>
      </w:r>
      <w:r w:rsidRPr="00BD15CB">
        <w:rPr>
          <w:vertAlign w:val="subscript"/>
        </w:rPr>
        <w:t>2</w:t>
      </w:r>
      <w:r w:rsidRPr="00977450">
        <w:t xml:space="preserve"> from flue gas.</w:t>
      </w:r>
      <w:r w:rsidR="00B54B73">
        <w:t xml:space="preserve"> </w:t>
      </w:r>
      <w:r w:rsidR="00B54B73" w:rsidRPr="00B54B73">
        <w:t>There are three types of amines. Primary amines are very reactive, but have low absorption capacities. Secondary amines are less reactive than primary amines. Compared with tertiary amines, tertiary amines have a low reactivity and a high absorption rate</w:t>
      </w:r>
      <w:r w:rsidR="00B54B73">
        <w:t xml:space="preserve"> </w:t>
      </w:r>
      <w:r w:rsidR="00B54B73" w:rsidRPr="00B54B73">
        <w:t>(Mailhol and Bouallou, 2021)</w:t>
      </w:r>
      <w:r w:rsidR="00B54B73">
        <w:t>.</w:t>
      </w:r>
    </w:p>
    <w:p w14:paraId="7BD3898F" w14:textId="7A388FA0" w:rsidR="00484B37" w:rsidRPr="00152F2B" w:rsidRDefault="00977450" w:rsidP="00DC41DA">
      <w:pPr>
        <w:pStyle w:val="CETBodytext"/>
      </w:pPr>
      <w:r w:rsidRPr="00977450">
        <w:t>Additionally, the method is comparatively inexpensive and easily adaptable to existing applications (Aghel et al., 2022). Generally, CO</w:t>
      </w:r>
      <w:r w:rsidRPr="00BD15CB">
        <w:rPr>
          <w:vertAlign w:val="subscript"/>
        </w:rPr>
        <w:t>2</w:t>
      </w:r>
      <w:r w:rsidRPr="00977450">
        <w:t xml:space="preserve"> is not very corrosive to materials in itself, but when it dissolves in water or when it dissolves in CO</w:t>
      </w:r>
      <w:r w:rsidRPr="00BD15CB">
        <w:rPr>
          <w:vertAlign w:val="subscript"/>
        </w:rPr>
        <w:t>2</w:t>
      </w:r>
      <w:r w:rsidRPr="00977450">
        <w:t>, it increases its corrosive characteristics, resulting in high corrosion rates (Pérez, 2013).</w:t>
      </w:r>
    </w:p>
    <w:p w14:paraId="0E90EDB4" w14:textId="77777777" w:rsidR="00977450" w:rsidRDefault="00977450" w:rsidP="00D62434">
      <w:pPr>
        <w:pStyle w:val="CETBodytext"/>
      </w:pPr>
      <w:r w:rsidRPr="00977450">
        <w:t xml:space="preserve">According to industry estimates, 80 % of accidents that occur during pipeline operation are caused by corrosion, primarily due to the continued use of ferrous metals that are not adequately protected. It is imperative to minimize equipment deterioration, as this usually results in prolonged downtime and unnecessary costs (Shamsa et al., </w:t>
      </w:r>
      <w:r w:rsidRPr="00977450">
        <w:lastRenderedPageBreak/>
        <w:t>2021). Unfortunately, aqueous amine absorbents can corrode equipment, which is one of the main problems facing CO</w:t>
      </w:r>
      <w:r w:rsidRPr="00BD15CB">
        <w:rPr>
          <w:vertAlign w:val="subscript"/>
        </w:rPr>
        <w:t>2</w:t>
      </w:r>
      <w:r w:rsidRPr="00977450">
        <w:t xml:space="preserve"> capture technologies. Although amines can inhibit some corrosion processes, under CO</w:t>
      </w:r>
      <w:r w:rsidRPr="00BD15CB">
        <w:rPr>
          <w:vertAlign w:val="subscript"/>
        </w:rPr>
        <w:t>2</w:t>
      </w:r>
      <w:r w:rsidRPr="00977450">
        <w:t xml:space="preserve"> capture conditions, they can cause severe corrosion on carbon steel equipment due to the formation of bicarbonate and carbamate species (Li et al., 2020).</w:t>
      </w:r>
    </w:p>
    <w:p w14:paraId="46F9C2DB" w14:textId="487D42F5" w:rsidR="00977450" w:rsidRDefault="00977450" w:rsidP="00977450">
      <w:pPr>
        <w:pStyle w:val="CETBodytext"/>
      </w:pPr>
      <w:r>
        <w:t>Carbon steel is a type of steel that has an approximate carbon percentage of 0.1</w:t>
      </w:r>
      <w:r w:rsidR="00BD15CB">
        <w:t xml:space="preserve"> </w:t>
      </w:r>
      <w:r>
        <w:t>%–0.3</w:t>
      </w:r>
      <w:r w:rsidR="00BD15CB">
        <w:t xml:space="preserve"> </w:t>
      </w:r>
      <w:r>
        <w:t>% and up to 2.1</w:t>
      </w:r>
      <w:r w:rsidR="00BD15CB">
        <w:t xml:space="preserve"> </w:t>
      </w:r>
      <w:r>
        <w:t>% at most by weight. Carbon steels are categorized into low carbon steel, medium carbon steel, and high carbon steel based on the amount of carbon they contain. Carbon steel exhibits unique properties in which an increase in the carbon percentage would cause the ductility of the steel to decrease but the tensile strength and hardness to increase. Due to its low price and high tensile strength, carbon steel is used to make most of the CO</w:t>
      </w:r>
      <w:r w:rsidRPr="00BD15CB">
        <w:rPr>
          <w:vertAlign w:val="subscript"/>
        </w:rPr>
        <w:t>2</w:t>
      </w:r>
      <w:r>
        <w:t xml:space="preserve"> absorbers. Unfortunately, the utilization of carbon steel as a building material (especially for PCCC technology) is limited by corrosion issues (Ooi et al., 2020).</w:t>
      </w:r>
    </w:p>
    <w:p w14:paraId="728814D8" w14:textId="5D564446" w:rsidR="00495B8A" w:rsidRPr="008A08B2" w:rsidRDefault="00977450" w:rsidP="00977450">
      <w:pPr>
        <w:pStyle w:val="CETBodytext"/>
        <w:rPr>
          <w:color w:val="000000" w:themeColor="text1"/>
        </w:rPr>
      </w:pPr>
      <w:r>
        <w:t xml:space="preserve">The review of relevant information on the effects of four </w:t>
      </w:r>
      <w:r w:rsidR="00BD15CB">
        <w:t>signific</w:t>
      </w:r>
      <w:r>
        <w:t>ant variables, composition, structure, pressure, and temperature</w:t>
      </w:r>
      <w:r w:rsidR="00BD15CB">
        <w:t>,</w:t>
      </w:r>
      <w:r>
        <w:t xml:space="preserve"> on the efficiency of CO</w:t>
      </w:r>
      <w:r w:rsidRPr="00BD15CB">
        <w:rPr>
          <w:vertAlign w:val="subscript"/>
        </w:rPr>
        <w:t>2</w:t>
      </w:r>
      <w:r>
        <w:t xml:space="preserve"> capture and corrosion of carbon steels using amine-based solvents is presented in this work. Th</w:t>
      </w:r>
      <w:r w:rsidR="00BD15CB">
        <w:t>is research aim</w:t>
      </w:r>
      <w:r>
        <w:t>s to reveal relevant information on these variables, the efficiency of CO</w:t>
      </w:r>
      <w:r w:rsidRPr="00BD15CB">
        <w:rPr>
          <w:vertAlign w:val="subscript"/>
        </w:rPr>
        <w:t>2</w:t>
      </w:r>
      <w:r>
        <w:t xml:space="preserve"> capture, and the corrosion impact of carbon steel since</w:t>
      </w:r>
      <w:r w:rsidR="00BD15CB">
        <w:t xml:space="preserve"> absorption columns are made from carbon steel in large part of the industrial processes</w:t>
      </w:r>
      <w:r w:rsidR="00624FAD" w:rsidRPr="005A5C5A">
        <w:rPr>
          <w:rFonts w:cs="Arial"/>
          <w:color w:val="000000" w:themeColor="text1"/>
          <w:szCs w:val="18"/>
        </w:rPr>
        <w:t>.</w:t>
      </w:r>
    </w:p>
    <w:p w14:paraId="271009CE" w14:textId="24D5797C" w:rsidR="002F4E06" w:rsidRPr="00576E30" w:rsidRDefault="009848C5" w:rsidP="008A08B2">
      <w:pPr>
        <w:pStyle w:val="CETHeading1"/>
        <w:spacing w:line="264" w:lineRule="auto"/>
      </w:pPr>
      <w:r w:rsidRPr="005D1C0A">
        <w:t xml:space="preserve">2. </w:t>
      </w:r>
      <w:r w:rsidR="00F13DD3" w:rsidRPr="005D1C0A">
        <w:t>CO</w:t>
      </w:r>
      <w:r w:rsidR="00F13DD3" w:rsidRPr="008A08B2">
        <w:rPr>
          <w:vertAlign w:val="subscript"/>
        </w:rPr>
        <w:t>2</w:t>
      </w:r>
      <w:r w:rsidR="00F13DD3" w:rsidRPr="005D1C0A">
        <w:t xml:space="preserve"> capture process using amines</w:t>
      </w:r>
    </w:p>
    <w:p w14:paraId="4904989C" w14:textId="57E46ECD" w:rsidR="0092563D" w:rsidRDefault="00977450" w:rsidP="002F4E06">
      <w:pPr>
        <w:pStyle w:val="CETBodytext"/>
      </w:pPr>
      <w:r w:rsidRPr="00977450">
        <w:t>Amine-based solvents have been found to have a good absorption capacity for CO</w:t>
      </w:r>
      <w:r w:rsidRPr="00BD15CB">
        <w:rPr>
          <w:vertAlign w:val="subscript"/>
        </w:rPr>
        <w:t>2</w:t>
      </w:r>
      <w:r w:rsidRPr="00977450">
        <w:t xml:space="preserve"> gas. Consequently, it is the most mature solvent in CO</w:t>
      </w:r>
      <w:r w:rsidR="003A1FF0">
        <w:rPr>
          <w:vertAlign w:val="subscript"/>
        </w:rPr>
        <w:t xml:space="preserve">2 </w:t>
      </w:r>
      <w:r w:rsidRPr="00977450">
        <w:t>absorption (Nwaoha et al., 2017). This technology offers capture with high efficiency (&gt;</w:t>
      </w:r>
      <w:r w:rsidR="00BD15CB">
        <w:t xml:space="preserve"> </w:t>
      </w:r>
      <w:r w:rsidRPr="00977450">
        <w:t>90 %) and selectivity (it is used in processes of separation and capture of CO</w:t>
      </w:r>
      <w:r w:rsidRPr="00BD15CB">
        <w:rPr>
          <w:vertAlign w:val="subscript"/>
        </w:rPr>
        <w:t>2</w:t>
      </w:r>
      <w:r w:rsidRPr="00977450">
        <w:t xml:space="preserve"> in different gas mixtures) and with lower energy consumption compared to other capture technologies (absorption physical, by membranes, calcination/carbonation cycle). In addition, it is a highly reversible process since a large amount of the amine used in the absorption process can be regenerated and used again. Table 1 shows the Advantages and disadvantages of amine-based solvents</w:t>
      </w:r>
      <w:r w:rsidR="00F13DD3" w:rsidRPr="00F13DD3">
        <w:t>.</w:t>
      </w:r>
    </w:p>
    <w:p w14:paraId="1AC36E7E" w14:textId="77777777" w:rsidR="008D23ED" w:rsidRDefault="008D23ED" w:rsidP="008D23ED">
      <w:pPr>
        <w:pStyle w:val="CETBodytext"/>
      </w:pPr>
      <w:r w:rsidRPr="00977450">
        <w:t>The capture process generates a solution, which can be corrosive</w:t>
      </w:r>
      <w:r>
        <w:t>,</w:t>
      </w:r>
      <w:r w:rsidRPr="00977450">
        <w:t xml:space="preserve"> and this phenomenon is not desired at an industrial level. Among the most commercially used amines are monoethanolamine (MEA) due to its low cost, diethanolamine (DEA) </w:t>
      </w:r>
      <w:r>
        <w:t xml:space="preserve">and </w:t>
      </w:r>
      <w:r w:rsidRPr="00977450">
        <w:t>methyldiet</w:t>
      </w:r>
      <w:r>
        <w:t xml:space="preserve">hanolamine (MDEA) are also used.  </w:t>
      </w:r>
    </w:p>
    <w:p w14:paraId="56729B35" w14:textId="77777777" w:rsidR="008D23ED" w:rsidRDefault="008D23ED" w:rsidP="008D23ED">
      <w:pPr>
        <w:pStyle w:val="CETBodytext"/>
      </w:pPr>
      <w:r>
        <w:t>M</w:t>
      </w:r>
      <w:r w:rsidRPr="00977450">
        <w:t>ixed amines or polyamines such as piperazine (PZ) and 4-amino-1-propyl-piperidine (4A1PPD) are currently employed, which presents as one of the main attributes, that they tend to have lower corrosion rates (Hernández, 2019).</w:t>
      </w:r>
    </w:p>
    <w:p w14:paraId="05B92C61" w14:textId="77777777" w:rsidR="008D23ED" w:rsidRPr="00BD15CB" w:rsidRDefault="008D23ED" w:rsidP="008D23ED">
      <w:pPr>
        <w:pStyle w:val="CETBodytext"/>
      </w:pPr>
      <w:r w:rsidRPr="00977450">
        <w:t>The chemical absorption process using amines as solvents in a column is the best known and applied method for CO</w:t>
      </w:r>
      <w:r w:rsidRPr="00BD15CB">
        <w:rPr>
          <w:vertAlign w:val="subscript"/>
        </w:rPr>
        <w:t>2</w:t>
      </w:r>
      <w:r w:rsidRPr="00977450">
        <w:t xml:space="preserve"> capture. Where methyldiethanolamine (MDEA) stands out as a</w:t>
      </w:r>
      <w:r>
        <w:t xml:space="preserve"> conventional</w:t>
      </w:r>
      <w:r w:rsidRPr="00977450">
        <w:t xml:space="preserve"> solvent for CO</w:t>
      </w:r>
      <w:r w:rsidRPr="00BD15CB">
        <w:rPr>
          <w:vertAlign w:val="subscript"/>
        </w:rPr>
        <w:t>2</w:t>
      </w:r>
      <w:r w:rsidRPr="00977450">
        <w:t xml:space="preserve"> capture</w:t>
      </w:r>
      <w:r>
        <w:t>,</w:t>
      </w:r>
      <w:r w:rsidRPr="00977450">
        <w:t xml:space="preserve"> it provides low fugitive emissions, in addition to the fact that the process has low regeneration heat and offers a high CO</w:t>
      </w:r>
      <w:r w:rsidRPr="00BD15CB">
        <w:rPr>
          <w:vertAlign w:val="subscript"/>
        </w:rPr>
        <w:t>2</w:t>
      </w:r>
      <w:r w:rsidRPr="00977450">
        <w:t xml:space="preserve"> absorption capacity (Shahid et al., 2021). In addition, it is the most suitable solvent for </w:t>
      </w:r>
      <w:r>
        <w:t>processing natural gas, which needs to remove CO</w:t>
      </w:r>
      <w:r w:rsidRPr="00BD15CB">
        <w:rPr>
          <w:vertAlign w:val="subscript"/>
        </w:rPr>
        <w:t>2</w:t>
      </w:r>
      <w:r>
        <w:t>, and such a process is carried out under</w:t>
      </w:r>
      <w:r w:rsidRPr="00977450">
        <w:t xml:space="preserve"> high pressure </w:t>
      </w:r>
      <w:r>
        <w:t>and high concentrations of CO</w:t>
      </w:r>
      <w:r w:rsidRPr="00BD15CB">
        <w:rPr>
          <w:vertAlign w:val="subscript"/>
        </w:rPr>
        <w:t>2</w:t>
      </w:r>
      <w:r>
        <w:t>. Using primary and secondary amines produces a direct reaction with CO</w:t>
      </w:r>
      <w:r w:rsidRPr="00BD15CB">
        <w:rPr>
          <w:vertAlign w:val="subscript"/>
        </w:rPr>
        <w:t>2</w:t>
      </w:r>
      <w:r w:rsidRPr="00977450">
        <w:t xml:space="preserve">. In the case of tertiary amines, there are stages before the reaction in the capture process (see Table 2). Both primary and secondary amines are weak bases that tend to react with CO2 to form carbamates (Ooi et al., 2020). This reaction is reversible; therefore, the amine solvent can be regenerated for </w:t>
      </w:r>
      <w:r>
        <w:t>subsequen</w:t>
      </w:r>
      <w:r w:rsidRPr="00977450">
        <w:t>t absorption use.</w:t>
      </w:r>
    </w:p>
    <w:p w14:paraId="50F2B92C" w14:textId="77777777" w:rsidR="008D23ED" w:rsidRDefault="008D23ED" w:rsidP="002F4E06">
      <w:pPr>
        <w:pStyle w:val="CETBodytext"/>
      </w:pPr>
    </w:p>
    <w:p w14:paraId="0772AF0B" w14:textId="55B1EF8B" w:rsidR="008D23ED" w:rsidRDefault="008D23ED" w:rsidP="002F4E06">
      <w:pPr>
        <w:pStyle w:val="CETBodytext"/>
      </w:pPr>
    </w:p>
    <w:p w14:paraId="263F8A54" w14:textId="6EAA8264" w:rsidR="008D23ED" w:rsidRDefault="008D23ED" w:rsidP="002F4E06">
      <w:pPr>
        <w:pStyle w:val="CETBodytext"/>
      </w:pPr>
    </w:p>
    <w:p w14:paraId="1E593A47" w14:textId="601D8AAF" w:rsidR="008D23ED" w:rsidRDefault="008D23ED" w:rsidP="002F4E06">
      <w:pPr>
        <w:pStyle w:val="CETBodytext"/>
      </w:pPr>
    </w:p>
    <w:p w14:paraId="685E540F" w14:textId="05CBA04A" w:rsidR="008D23ED" w:rsidRDefault="008D23ED" w:rsidP="002F4E06">
      <w:pPr>
        <w:pStyle w:val="CETBodytext"/>
      </w:pPr>
    </w:p>
    <w:p w14:paraId="6FD0EC61" w14:textId="3D09399A" w:rsidR="008D23ED" w:rsidRDefault="008D23ED" w:rsidP="002F4E06">
      <w:pPr>
        <w:pStyle w:val="CETBodytext"/>
      </w:pPr>
    </w:p>
    <w:p w14:paraId="25F3A63C" w14:textId="0F3D04BF" w:rsidR="008D23ED" w:rsidRDefault="008D23ED" w:rsidP="002F4E06">
      <w:pPr>
        <w:pStyle w:val="CETBodytext"/>
      </w:pPr>
    </w:p>
    <w:p w14:paraId="32EBC8A9" w14:textId="1A7DDADB" w:rsidR="008D23ED" w:rsidRDefault="008D23ED" w:rsidP="002F4E06">
      <w:pPr>
        <w:pStyle w:val="CETBodytext"/>
      </w:pPr>
    </w:p>
    <w:p w14:paraId="6941C6C4" w14:textId="1B734AC9" w:rsidR="008D23ED" w:rsidRDefault="008D23ED" w:rsidP="002F4E06">
      <w:pPr>
        <w:pStyle w:val="CETBodytext"/>
      </w:pPr>
    </w:p>
    <w:p w14:paraId="3108C4FB" w14:textId="3879A15C" w:rsidR="008D23ED" w:rsidRDefault="008D23ED" w:rsidP="002F4E06">
      <w:pPr>
        <w:pStyle w:val="CETBodytext"/>
      </w:pPr>
    </w:p>
    <w:p w14:paraId="2D300789" w14:textId="269DE6B1" w:rsidR="008D23ED" w:rsidRDefault="008D23ED" w:rsidP="002F4E06">
      <w:pPr>
        <w:pStyle w:val="CETBodytext"/>
      </w:pPr>
    </w:p>
    <w:p w14:paraId="12A7D890" w14:textId="4C2BD1FF" w:rsidR="008D23ED" w:rsidRDefault="008D23ED" w:rsidP="002F4E06">
      <w:pPr>
        <w:pStyle w:val="CETBodytext"/>
      </w:pPr>
    </w:p>
    <w:p w14:paraId="4823FAA1" w14:textId="2752C7E9" w:rsidR="008D23ED" w:rsidRDefault="008D23ED" w:rsidP="002F4E06">
      <w:pPr>
        <w:pStyle w:val="CETBodytext"/>
      </w:pPr>
    </w:p>
    <w:p w14:paraId="2DCBEBD2" w14:textId="03229748" w:rsidR="008D23ED" w:rsidRDefault="008D23ED" w:rsidP="002F4E06">
      <w:pPr>
        <w:pStyle w:val="CETBodytext"/>
      </w:pPr>
    </w:p>
    <w:p w14:paraId="61125D47" w14:textId="18914883" w:rsidR="008D23ED" w:rsidRDefault="008D23ED" w:rsidP="002F4E06">
      <w:pPr>
        <w:pStyle w:val="CETBodytext"/>
      </w:pPr>
    </w:p>
    <w:p w14:paraId="18977A4C" w14:textId="063B6BA3" w:rsidR="008D23ED" w:rsidRDefault="008D23ED" w:rsidP="002F4E06">
      <w:pPr>
        <w:pStyle w:val="CETBodytext"/>
      </w:pPr>
    </w:p>
    <w:p w14:paraId="309CFE45" w14:textId="11D35D6F" w:rsidR="008D23ED" w:rsidRDefault="008D23ED" w:rsidP="002F4E06">
      <w:pPr>
        <w:pStyle w:val="CETBodytext"/>
      </w:pPr>
    </w:p>
    <w:p w14:paraId="74B41FEC" w14:textId="77777777" w:rsidR="008D23ED" w:rsidRPr="0092563D" w:rsidRDefault="008D23ED" w:rsidP="002F4E06">
      <w:pPr>
        <w:pStyle w:val="CETBodytext"/>
      </w:pPr>
    </w:p>
    <w:p w14:paraId="53B1FE31" w14:textId="3D2B526A" w:rsidR="008E40FC" w:rsidRDefault="00CD2292" w:rsidP="00CD2292">
      <w:pPr>
        <w:pStyle w:val="CETTabletitle"/>
        <w:rPr>
          <w:lang w:val="en-US"/>
        </w:rPr>
      </w:pPr>
      <w:r w:rsidRPr="00CD2292">
        <w:rPr>
          <w:lang w:val="en-US"/>
        </w:rPr>
        <w:lastRenderedPageBreak/>
        <w:t>Table 1</w:t>
      </w:r>
      <w:r>
        <w:rPr>
          <w:lang w:val="en-US"/>
        </w:rPr>
        <w:t>:</w:t>
      </w:r>
      <w:r w:rsidR="008E40FC" w:rsidRPr="00CD2292">
        <w:rPr>
          <w:lang w:val="en-US"/>
        </w:rPr>
        <w:t xml:space="preserve"> Advantages and disadvantages </w:t>
      </w:r>
      <w:r w:rsidR="008E40FC" w:rsidRPr="00DB5ACC">
        <w:rPr>
          <w:lang w:val="en-US"/>
        </w:rPr>
        <w:t xml:space="preserve">of solvents </w:t>
      </w:r>
      <w:r w:rsidR="008E40FC" w:rsidRPr="00DB5ACC">
        <w:rPr>
          <w:lang w:val="es-ES"/>
        </w:rPr>
        <w:fldChar w:fldCharType="begin" w:fldLock="1"/>
      </w:r>
      <w:r w:rsidR="00536AE4" w:rsidRPr="00DB5ACC">
        <w:rPr>
          <w:lang w:val="en-US"/>
        </w:rPr>
        <w:instrText>ADDIN CSL_CITATION {"citationItems":[{"id":"ITEM-1","itemData":{"DOI":"10.1016/j.ijggc.2022.103715","ISSN":"1750-5836","author":[{"dropping-particle":"","family":"Aghel","given":"Babak","non-dropping-particle":"","parse-names":false,"suffix":""},{"dropping-particle":"","family":"Janati","given":"Sara","non-dropping-particle":"","parse-names":false,"suffix":""},{"dropping-particle":"","family":"Wongwises","given":"Somchai","non-dropping-particle":"","parse-names":false,"suffix":""},{"dropping-particle":"","family":"Safdari","given":"Mostafa","non-dropping-particle":"","parse-names":false,"suffix":""}],"container-title":"International Journal of Greenhouse Gas Control","id":"ITEM-1","issue":"May","issued":{"date-parts":[["2022"]]},"page":"103715","publisher":"Elsevier Ltd","title":"International Journal of Greenhouse Gas Control Review on CO 2 capture by blended amine solutions","type":"article-journal","volume":"119"},"uris":["http://www.mendeley.com/documents/?uuid=91cb7637-05e8-4ae9-8ead-6200b5b5150d"]}],"mendeley":{"formattedCitation":"(Aghel et al., 2022)","plainTextFormattedCitation":"(Aghel et al., 2022)","previouslyFormattedCitation":"(Aghel et al., 2022)"},"properties":{"noteIndex":0},"schema":"https://github.com/citation-style-language/schema/raw/master/csl-citation.json"}</w:instrText>
      </w:r>
      <w:r w:rsidR="008E40FC" w:rsidRPr="00DB5ACC">
        <w:rPr>
          <w:lang w:val="es-ES"/>
        </w:rPr>
        <w:fldChar w:fldCharType="separate"/>
      </w:r>
      <w:r w:rsidR="008E40FC" w:rsidRPr="00DB5ACC">
        <w:rPr>
          <w:noProof/>
          <w:lang w:val="en-US"/>
        </w:rPr>
        <w:t>(Aghel et al., 2022)</w:t>
      </w:r>
      <w:r w:rsidR="008E40FC" w:rsidRPr="00DB5ACC">
        <w:rPr>
          <w:lang w:val="es-ES"/>
        </w:rPr>
        <w:fldChar w:fldCharType="end"/>
      </w:r>
      <w:r w:rsidR="008E40FC" w:rsidRPr="00DB5ACC">
        <w:rPr>
          <w:lang w:val="en-US"/>
        </w:rPr>
        <w:t>.</w:t>
      </w:r>
    </w:p>
    <w:tbl>
      <w:tblPr>
        <w:tblW w:w="88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42"/>
        <w:gridCol w:w="3644"/>
        <w:gridCol w:w="2924"/>
      </w:tblGrid>
      <w:tr w:rsidR="00EC4854" w:rsidRPr="00B57B36" w14:paraId="5D466ABB" w14:textId="77777777" w:rsidTr="00FC41C7">
        <w:trPr>
          <w:trHeight w:val="321"/>
        </w:trPr>
        <w:tc>
          <w:tcPr>
            <w:tcW w:w="2242" w:type="dxa"/>
            <w:tcBorders>
              <w:top w:val="single" w:sz="12" w:space="0" w:color="008000"/>
              <w:bottom w:val="single" w:sz="6" w:space="0" w:color="008000"/>
            </w:tcBorders>
            <w:shd w:val="clear" w:color="auto" w:fill="FFFFFF"/>
          </w:tcPr>
          <w:p w14:paraId="6819E059" w14:textId="194FBE8C" w:rsidR="00EC4854" w:rsidRPr="00B57B36" w:rsidRDefault="00EC4854" w:rsidP="00EC4854">
            <w:pPr>
              <w:pStyle w:val="CETBodytext"/>
              <w:rPr>
                <w:lang w:val="en-GB"/>
              </w:rPr>
            </w:pPr>
            <w:r w:rsidRPr="00BA1DFD">
              <w:t>Types solvent</w:t>
            </w:r>
          </w:p>
        </w:tc>
        <w:tc>
          <w:tcPr>
            <w:tcW w:w="3644" w:type="dxa"/>
            <w:tcBorders>
              <w:top w:val="single" w:sz="12" w:space="0" w:color="008000"/>
              <w:bottom w:val="single" w:sz="6" w:space="0" w:color="008000"/>
            </w:tcBorders>
            <w:shd w:val="clear" w:color="auto" w:fill="FFFFFF"/>
          </w:tcPr>
          <w:p w14:paraId="43C0A680" w14:textId="77487632" w:rsidR="00EC4854" w:rsidRPr="00B57B36" w:rsidRDefault="00EC4854" w:rsidP="00EC4854">
            <w:pPr>
              <w:pStyle w:val="CETBodytext"/>
              <w:rPr>
                <w:lang w:val="en-GB"/>
              </w:rPr>
            </w:pPr>
            <w:r w:rsidRPr="00BA1DFD">
              <w:t>Disadvantages</w:t>
            </w:r>
          </w:p>
        </w:tc>
        <w:tc>
          <w:tcPr>
            <w:tcW w:w="2924" w:type="dxa"/>
            <w:tcBorders>
              <w:top w:val="single" w:sz="12" w:space="0" w:color="008000"/>
              <w:bottom w:val="single" w:sz="6" w:space="0" w:color="008000"/>
            </w:tcBorders>
            <w:shd w:val="clear" w:color="auto" w:fill="FFFFFF"/>
          </w:tcPr>
          <w:p w14:paraId="50C0531E" w14:textId="2BB985B0" w:rsidR="00EC4854" w:rsidRPr="00B57B36" w:rsidRDefault="00EC4854" w:rsidP="00EC4854">
            <w:pPr>
              <w:pStyle w:val="CETBodytext"/>
              <w:rPr>
                <w:lang w:val="en-GB"/>
              </w:rPr>
            </w:pPr>
            <w:r w:rsidRPr="00BA1DFD">
              <w:t>Advantages</w:t>
            </w:r>
          </w:p>
        </w:tc>
      </w:tr>
      <w:tr w:rsidR="00EC4854" w:rsidRPr="00B57B36" w14:paraId="18D39D3A" w14:textId="77777777" w:rsidTr="00FC41C7">
        <w:trPr>
          <w:trHeight w:val="152"/>
        </w:trPr>
        <w:tc>
          <w:tcPr>
            <w:tcW w:w="2242" w:type="dxa"/>
            <w:shd w:val="clear" w:color="auto" w:fill="FFFFFF"/>
          </w:tcPr>
          <w:p w14:paraId="71795F99" w14:textId="1C2F1174" w:rsidR="00EC4854" w:rsidRPr="00B57B36" w:rsidRDefault="00EC4854" w:rsidP="00EC4854">
            <w:pPr>
              <w:pStyle w:val="CETBodytext"/>
              <w:rPr>
                <w:lang w:val="en-GB"/>
              </w:rPr>
            </w:pPr>
            <w:r>
              <w:t>MEA (monoethanolamine)</w:t>
            </w:r>
          </w:p>
        </w:tc>
        <w:tc>
          <w:tcPr>
            <w:tcW w:w="3644" w:type="dxa"/>
            <w:shd w:val="clear" w:color="auto" w:fill="FFFFFF"/>
          </w:tcPr>
          <w:p w14:paraId="54BD5D37" w14:textId="77777777" w:rsidR="00EC4854" w:rsidRDefault="00EC4854" w:rsidP="00EC4854">
            <w:pPr>
              <w:pStyle w:val="CETBodytext"/>
              <w:numPr>
                <w:ilvl w:val="0"/>
                <w:numId w:val="25"/>
              </w:numPr>
              <w:spacing w:line="360" w:lineRule="auto"/>
              <w:jc w:val="left"/>
            </w:pPr>
            <w:r w:rsidRPr="00F537E4">
              <w:t>High vapo</w:t>
            </w:r>
            <w:r>
              <w:t>u</w:t>
            </w:r>
            <w:r w:rsidRPr="00F537E4">
              <w:t>r pressure</w:t>
            </w:r>
          </w:p>
          <w:p w14:paraId="7FADEB28" w14:textId="77777777" w:rsidR="00EC4854" w:rsidRDefault="00EC4854" w:rsidP="00EC4854">
            <w:pPr>
              <w:pStyle w:val="CETBodytext"/>
              <w:numPr>
                <w:ilvl w:val="0"/>
                <w:numId w:val="25"/>
              </w:numPr>
              <w:spacing w:line="360" w:lineRule="auto"/>
              <w:jc w:val="left"/>
            </w:pPr>
            <w:r w:rsidRPr="00F537E4">
              <w:t xml:space="preserve">High corrosivity </w:t>
            </w:r>
          </w:p>
          <w:p w14:paraId="58555E5A" w14:textId="4E23581D" w:rsidR="00EC4854" w:rsidRPr="00B57B36" w:rsidRDefault="00EC4854" w:rsidP="00EC4854">
            <w:pPr>
              <w:pStyle w:val="CETBodytext"/>
              <w:numPr>
                <w:ilvl w:val="0"/>
                <w:numId w:val="25"/>
              </w:numPr>
              <w:rPr>
                <w:lang w:val="en-GB"/>
              </w:rPr>
            </w:pPr>
            <w:r w:rsidRPr="00F537E4">
              <w:t>High energy demand for regeneration</w:t>
            </w:r>
          </w:p>
        </w:tc>
        <w:tc>
          <w:tcPr>
            <w:tcW w:w="2924" w:type="dxa"/>
            <w:shd w:val="clear" w:color="auto" w:fill="FFFFFF"/>
          </w:tcPr>
          <w:p w14:paraId="3CF830AB" w14:textId="77777777" w:rsidR="00EC4854" w:rsidRDefault="00EC4854" w:rsidP="00EC4854">
            <w:pPr>
              <w:pStyle w:val="CETBodytext"/>
              <w:numPr>
                <w:ilvl w:val="0"/>
                <w:numId w:val="25"/>
              </w:numPr>
              <w:spacing w:line="360" w:lineRule="auto"/>
              <w:jc w:val="left"/>
            </w:pPr>
            <w:r w:rsidRPr="00F537E4">
              <w:t>High reactivity with CO</w:t>
            </w:r>
            <w:r w:rsidRPr="00F537E4">
              <w:rPr>
                <w:vertAlign w:val="subscript"/>
              </w:rPr>
              <w:t>2</w:t>
            </w:r>
          </w:p>
          <w:p w14:paraId="186FEBB0" w14:textId="77777777" w:rsidR="00EC4854" w:rsidRDefault="00EC4854" w:rsidP="00EC4854">
            <w:pPr>
              <w:pStyle w:val="CETBodytext"/>
              <w:numPr>
                <w:ilvl w:val="0"/>
                <w:numId w:val="25"/>
              </w:numPr>
              <w:spacing w:line="360" w:lineRule="auto"/>
              <w:jc w:val="left"/>
            </w:pPr>
            <w:r w:rsidRPr="00F537E4">
              <w:t xml:space="preserve">Availability and low cost </w:t>
            </w:r>
          </w:p>
          <w:p w14:paraId="7158375D" w14:textId="77777777" w:rsidR="00EC4854" w:rsidRPr="00EC4854" w:rsidRDefault="00EC4854" w:rsidP="00EC4854">
            <w:pPr>
              <w:pStyle w:val="CETBodytext"/>
              <w:numPr>
                <w:ilvl w:val="0"/>
                <w:numId w:val="25"/>
              </w:numPr>
              <w:rPr>
                <w:lang w:val="en-GB"/>
              </w:rPr>
            </w:pPr>
            <w:r w:rsidRPr="00F537E4">
              <w:t>High absorption rate</w:t>
            </w:r>
          </w:p>
          <w:p w14:paraId="5E118094" w14:textId="32513B2F" w:rsidR="00EC4854" w:rsidRPr="00B57B36" w:rsidRDefault="00EC4854" w:rsidP="00EC4854">
            <w:pPr>
              <w:pStyle w:val="CETBodytext"/>
              <w:ind w:left="720"/>
              <w:rPr>
                <w:lang w:val="en-GB"/>
              </w:rPr>
            </w:pPr>
          </w:p>
        </w:tc>
      </w:tr>
      <w:tr w:rsidR="00EC4854" w:rsidRPr="00B57B36" w14:paraId="4FAC8CF2" w14:textId="77777777" w:rsidTr="00FC41C7">
        <w:trPr>
          <w:trHeight w:val="159"/>
        </w:trPr>
        <w:tc>
          <w:tcPr>
            <w:tcW w:w="2242" w:type="dxa"/>
            <w:shd w:val="clear" w:color="auto" w:fill="FFFFFF"/>
          </w:tcPr>
          <w:p w14:paraId="094387A0" w14:textId="6A4B6081" w:rsidR="00EC4854" w:rsidRPr="00B57B36" w:rsidRDefault="00EC4854" w:rsidP="00EC4854">
            <w:pPr>
              <w:pStyle w:val="CETBodytext"/>
              <w:ind w:right="-1"/>
              <w:rPr>
                <w:rFonts w:cs="Arial"/>
                <w:szCs w:val="18"/>
                <w:lang w:val="en-GB"/>
              </w:rPr>
            </w:pPr>
            <w:r>
              <w:t>MDEA (methyldiethanolamine)</w:t>
            </w:r>
          </w:p>
        </w:tc>
        <w:tc>
          <w:tcPr>
            <w:tcW w:w="3644" w:type="dxa"/>
            <w:shd w:val="clear" w:color="auto" w:fill="FFFFFF"/>
          </w:tcPr>
          <w:p w14:paraId="7EB6B886" w14:textId="68C23211" w:rsidR="00EC4854" w:rsidRPr="00B57B36" w:rsidRDefault="00EC4854" w:rsidP="00EC4854">
            <w:pPr>
              <w:pStyle w:val="CETBodytext"/>
              <w:numPr>
                <w:ilvl w:val="0"/>
                <w:numId w:val="41"/>
              </w:numPr>
              <w:ind w:right="-1"/>
              <w:rPr>
                <w:rFonts w:cs="Arial"/>
                <w:szCs w:val="18"/>
                <w:lang w:val="en-GB"/>
              </w:rPr>
            </w:pPr>
            <w:r w:rsidRPr="00F537E4">
              <w:t>Low rate of reaction with CO</w:t>
            </w:r>
            <w:r w:rsidRPr="00F537E4">
              <w:rPr>
                <w:vertAlign w:val="subscript"/>
              </w:rPr>
              <w:t>2</w:t>
            </w:r>
          </w:p>
        </w:tc>
        <w:tc>
          <w:tcPr>
            <w:tcW w:w="2924" w:type="dxa"/>
            <w:shd w:val="clear" w:color="auto" w:fill="FFFFFF"/>
          </w:tcPr>
          <w:p w14:paraId="7D07A404" w14:textId="77777777" w:rsidR="00EC4854" w:rsidRDefault="00EC4854" w:rsidP="00EC4854">
            <w:pPr>
              <w:pStyle w:val="CETBodytext"/>
              <w:numPr>
                <w:ilvl w:val="0"/>
                <w:numId w:val="25"/>
              </w:numPr>
              <w:spacing w:line="360" w:lineRule="auto"/>
              <w:jc w:val="left"/>
            </w:pPr>
            <w:r>
              <w:t xml:space="preserve">Low corrosivity </w:t>
            </w:r>
          </w:p>
          <w:p w14:paraId="292C3899" w14:textId="77777777" w:rsidR="00EC4854" w:rsidRDefault="00EC4854" w:rsidP="00EC4854">
            <w:pPr>
              <w:pStyle w:val="CETBodytext"/>
              <w:numPr>
                <w:ilvl w:val="0"/>
                <w:numId w:val="25"/>
              </w:numPr>
              <w:spacing w:line="360" w:lineRule="auto"/>
              <w:jc w:val="left"/>
            </w:pPr>
            <w:r>
              <w:t xml:space="preserve">High resistance against degradation </w:t>
            </w:r>
          </w:p>
          <w:p w14:paraId="208404E6" w14:textId="77777777" w:rsidR="00EC4854" w:rsidRDefault="00EC4854" w:rsidP="00EC4854">
            <w:pPr>
              <w:pStyle w:val="CETBodytext"/>
              <w:numPr>
                <w:ilvl w:val="0"/>
                <w:numId w:val="25"/>
              </w:numPr>
              <w:spacing w:line="360" w:lineRule="auto"/>
              <w:jc w:val="left"/>
            </w:pPr>
            <w:r>
              <w:t>Selective absorption of H</w:t>
            </w:r>
            <w:r w:rsidRPr="005A5C5A">
              <w:rPr>
                <w:vertAlign w:val="subscript"/>
              </w:rPr>
              <w:t>2</w:t>
            </w:r>
            <w:r>
              <w:t>S in the presence of CO</w:t>
            </w:r>
            <w:r w:rsidRPr="005A5C5A">
              <w:rPr>
                <w:vertAlign w:val="subscript"/>
              </w:rPr>
              <w:t>2</w:t>
            </w:r>
            <w:r>
              <w:t xml:space="preserve"> </w:t>
            </w:r>
          </w:p>
          <w:p w14:paraId="2659D90B" w14:textId="77777777" w:rsidR="00EC4854" w:rsidRPr="00EC4854" w:rsidRDefault="00EC4854" w:rsidP="00EC4854">
            <w:pPr>
              <w:pStyle w:val="CETBodytext"/>
              <w:numPr>
                <w:ilvl w:val="0"/>
                <w:numId w:val="25"/>
              </w:numPr>
              <w:ind w:right="-1"/>
              <w:rPr>
                <w:rFonts w:cs="Arial"/>
                <w:szCs w:val="18"/>
                <w:lang w:val="en-GB"/>
              </w:rPr>
            </w:pPr>
            <w:r>
              <w:t>Flexible</w:t>
            </w:r>
          </w:p>
          <w:p w14:paraId="42D1DDBF" w14:textId="47C331C9" w:rsidR="00EC4854" w:rsidRPr="00B57B36" w:rsidRDefault="00EC4854" w:rsidP="00EC4854">
            <w:pPr>
              <w:pStyle w:val="CETBodytext"/>
              <w:ind w:left="720" w:right="-1"/>
              <w:rPr>
                <w:rFonts w:cs="Arial"/>
                <w:szCs w:val="18"/>
                <w:lang w:val="en-GB"/>
              </w:rPr>
            </w:pPr>
          </w:p>
        </w:tc>
      </w:tr>
      <w:tr w:rsidR="00EC4854" w:rsidRPr="00B57B36" w14:paraId="158A6570" w14:textId="77777777" w:rsidTr="00FC41C7">
        <w:trPr>
          <w:trHeight w:val="159"/>
        </w:trPr>
        <w:tc>
          <w:tcPr>
            <w:tcW w:w="2242" w:type="dxa"/>
            <w:shd w:val="clear" w:color="auto" w:fill="FFFFFF"/>
          </w:tcPr>
          <w:p w14:paraId="28C596DA" w14:textId="79623255" w:rsidR="00EC4854" w:rsidRDefault="00EC4854" w:rsidP="00EC4854">
            <w:pPr>
              <w:pStyle w:val="CETBodytext"/>
              <w:ind w:right="-1"/>
            </w:pPr>
            <w:r>
              <w:t>DEA (diethanolamine)</w:t>
            </w:r>
          </w:p>
        </w:tc>
        <w:tc>
          <w:tcPr>
            <w:tcW w:w="3644" w:type="dxa"/>
            <w:shd w:val="clear" w:color="auto" w:fill="FFFFFF"/>
          </w:tcPr>
          <w:p w14:paraId="4731CD02" w14:textId="77777777" w:rsidR="00EC4854" w:rsidRDefault="00EC4854" w:rsidP="00EC4854">
            <w:pPr>
              <w:pStyle w:val="CETBodytext"/>
              <w:numPr>
                <w:ilvl w:val="0"/>
                <w:numId w:val="26"/>
              </w:numPr>
              <w:spacing w:line="360" w:lineRule="auto"/>
              <w:jc w:val="left"/>
            </w:pPr>
            <w:r w:rsidRPr="00803772">
              <w:t>Production of corrosive acids in the presence of O</w:t>
            </w:r>
            <w:r w:rsidRPr="00803772">
              <w:rPr>
                <w:vertAlign w:val="subscript"/>
              </w:rPr>
              <w:t>2</w:t>
            </w:r>
          </w:p>
          <w:p w14:paraId="3F38F70C" w14:textId="5C928F61" w:rsidR="00EC4854" w:rsidRPr="00F537E4" w:rsidRDefault="00EC4854" w:rsidP="00EC4854">
            <w:pPr>
              <w:pStyle w:val="CETBodytext"/>
              <w:numPr>
                <w:ilvl w:val="0"/>
                <w:numId w:val="26"/>
              </w:numPr>
              <w:ind w:right="-1"/>
            </w:pPr>
            <w:r w:rsidRPr="00803772">
              <w:t>Unable to carry low-pressure gases</w:t>
            </w:r>
          </w:p>
        </w:tc>
        <w:tc>
          <w:tcPr>
            <w:tcW w:w="2924" w:type="dxa"/>
            <w:shd w:val="clear" w:color="auto" w:fill="FFFFFF"/>
          </w:tcPr>
          <w:p w14:paraId="7891B9C4" w14:textId="77777777" w:rsidR="00EC4854" w:rsidRDefault="00EC4854" w:rsidP="00EC4854">
            <w:pPr>
              <w:pStyle w:val="CETBodytext"/>
              <w:numPr>
                <w:ilvl w:val="0"/>
                <w:numId w:val="25"/>
              </w:numPr>
              <w:spacing w:line="360" w:lineRule="auto"/>
              <w:jc w:val="left"/>
            </w:pPr>
            <w:r w:rsidRPr="008E40FC">
              <w:t>Low corrosivity and foaming Lower energy demand</w:t>
            </w:r>
          </w:p>
          <w:p w14:paraId="0B66426D" w14:textId="77777777" w:rsidR="00EC4854" w:rsidRDefault="00EC4854" w:rsidP="00EC4854">
            <w:pPr>
              <w:pStyle w:val="CETBodytext"/>
              <w:spacing w:line="360" w:lineRule="auto"/>
              <w:ind w:left="720"/>
              <w:jc w:val="left"/>
            </w:pPr>
          </w:p>
          <w:p w14:paraId="076A56A3" w14:textId="099099BB" w:rsidR="00EC4854" w:rsidRDefault="00EC4854" w:rsidP="00EC4854">
            <w:pPr>
              <w:pStyle w:val="CETBodytext"/>
              <w:spacing w:line="360" w:lineRule="auto"/>
              <w:ind w:left="720"/>
              <w:jc w:val="left"/>
            </w:pPr>
          </w:p>
        </w:tc>
      </w:tr>
      <w:tr w:rsidR="00EC4854" w:rsidRPr="00B57B36" w14:paraId="0D973F3C" w14:textId="77777777" w:rsidTr="00FC41C7">
        <w:trPr>
          <w:trHeight w:val="159"/>
        </w:trPr>
        <w:tc>
          <w:tcPr>
            <w:tcW w:w="2242" w:type="dxa"/>
            <w:shd w:val="clear" w:color="auto" w:fill="FFFFFF"/>
          </w:tcPr>
          <w:p w14:paraId="5BD42057" w14:textId="7E619FE2" w:rsidR="00EC4854" w:rsidRDefault="00EC4854" w:rsidP="00EC4854">
            <w:pPr>
              <w:pStyle w:val="CETBodytext"/>
              <w:ind w:right="-1"/>
            </w:pPr>
            <w:r>
              <w:t>TEA (</w:t>
            </w:r>
            <w:r w:rsidRPr="00F537E4">
              <w:t>triethanolamine</w:t>
            </w:r>
            <w:r>
              <w:t>)</w:t>
            </w:r>
          </w:p>
        </w:tc>
        <w:tc>
          <w:tcPr>
            <w:tcW w:w="3644" w:type="dxa"/>
            <w:shd w:val="clear" w:color="auto" w:fill="FFFFFF"/>
          </w:tcPr>
          <w:p w14:paraId="73E99C51" w14:textId="023F9F0F" w:rsidR="00EC4854" w:rsidRPr="00803772" w:rsidRDefault="00EC4854" w:rsidP="00EC4854">
            <w:pPr>
              <w:pStyle w:val="CETBodytext"/>
              <w:numPr>
                <w:ilvl w:val="0"/>
                <w:numId w:val="26"/>
              </w:numPr>
              <w:spacing w:line="360" w:lineRule="auto"/>
              <w:jc w:val="left"/>
            </w:pPr>
            <w:r w:rsidRPr="008E40FC">
              <w:t>Lower absorption rate compared to MEA</w:t>
            </w:r>
          </w:p>
        </w:tc>
        <w:tc>
          <w:tcPr>
            <w:tcW w:w="2924" w:type="dxa"/>
            <w:shd w:val="clear" w:color="auto" w:fill="FFFFFF"/>
          </w:tcPr>
          <w:p w14:paraId="726073CE" w14:textId="77777777" w:rsidR="00EC4854" w:rsidRDefault="00EC4854" w:rsidP="00EC4854">
            <w:pPr>
              <w:pStyle w:val="CETBodytext"/>
              <w:numPr>
                <w:ilvl w:val="0"/>
                <w:numId w:val="25"/>
              </w:numPr>
              <w:spacing w:line="360" w:lineRule="auto"/>
              <w:jc w:val="left"/>
            </w:pPr>
            <w:r w:rsidRPr="008E40FC">
              <w:t>Lower costs due to less energy demand</w:t>
            </w:r>
          </w:p>
          <w:p w14:paraId="641ED326" w14:textId="6D0EF882" w:rsidR="00EC4854" w:rsidRPr="008E40FC" w:rsidRDefault="00EC4854" w:rsidP="00EC4854">
            <w:pPr>
              <w:pStyle w:val="CETBodytext"/>
              <w:spacing w:line="360" w:lineRule="auto"/>
              <w:ind w:left="360"/>
              <w:jc w:val="left"/>
            </w:pPr>
          </w:p>
        </w:tc>
      </w:tr>
      <w:tr w:rsidR="00EC4854" w:rsidRPr="00B57B36" w14:paraId="511601BE" w14:textId="77777777" w:rsidTr="00FC41C7">
        <w:trPr>
          <w:trHeight w:val="159"/>
        </w:trPr>
        <w:tc>
          <w:tcPr>
            <w:tcW w:w="2242" w:type="dxa"/>
            <w:shd w:val="clear" w:color="auto" w:fill="FFFFFF"/>
          </w:tcPr>
          <w:p w14:paraId="66D38ED3" w14:textId="544DC6CA" w:rsidR="00EC4854" w:rsidRDefault="00EC4854" w:rsidP="00EC4854">
            <w:pPr>
              <w:pStyle w:val="CETBodytext"/>
              <w:ind w:right="-1"/>
            </w:pPr>
            <w:r>
              <w:t>DIPA (</w:t>
            </w:r>
            <w:r w:rsidRPr="00F537E4">
              <w:t>bis(2-hydroxypropyl)amine</w:t>
            </w:r>
            <w:r>
              <w:t>)</w:t>
            </w:r>
          </w:p>
        </w:tc>
        <w:tc>
          <w:tcPr>
            <w:tcW w:w="3644" w:type="dxa"/>
            <w:shd w:val="clear" w:color="auto" w:fill="FFFFFF"/>
          </w:tcPr>
          <w:p w14:paraId="5D1B1562" w14:textId="46D01B62" w:rsidR="00EC4854" w:rsidRPr="008E40FC" w:rsidRDefault="00EC4854" w:rsidP="00EC4854">
            <w:pPr>
              <w:pStyle w:val="CETBodytext"/>
              <w:numPr>
                <w:ilvl w:val="0"/>
                <w:numId w:val="26"/>
              </w:numPr>
              <w:spacing w:line="360" w:lineRule="auto"/>
              <w:jc w:val="left"/>
            </w:pPr>
            <w:r w:rsidRPr="008E40FC">
              <w:t>Weak CO</w:t>
            </w:r>
            <w:r w:rsidRPr="008E40FC">
              <w:rPr>
                <w:vertAlign w:val="subscript"/>
              </w:rPr>
              <w:t>2</w:t>
            </w:r>
            <w:r w:rsidRPr="008E40FC">
              <w:t xml:space="preserve"> absorption</w:t>
            </w:r>
          </w:p>
        </w:tc>
        <w:tc>
          <w:tcPr>
            <w:tcW w:w="2924" w:type="dxa"/>
            <w:shd w:val="clear" w:color="auto" w:fill="FFFFFF"/>
          </w:tcPr>
          <w:p w14:paraId="38B75CF0" w14:textId="77777777" w:rsidR="00EC4854" w:rsidRDefault="00EC4854" w:rsidP="00EC4854">
            <w:pPr>
              <w:pStyle w:val="CETBodytext"/>
              <w:numPr>
                <w:ilvl w:val="0"/>
                <w:numId w:val="28"/>
              </w:numPr>
              <w:spacing w:line="360" w:lineRule="auto"/>
              <w:jc w:val="left"/>
            </w:pPr>
            <w:r w:rsidRPr="008E40FC">
              <w:t xml:space="preserve">Non-corrosive </w:t>
            </w:r>
          </w:p>
          <w:p w14:paraId="4D82D654" w14:textId="77777777" w:rsidR="00EC4854" w:rsidRDefault="00EC4854" w:rsidP="00EC4854">
            <w:pPr>
              <w:pStyle w:val="CETBodytext"/>
              <w:numPr>
                <w:ilvl w:val="0"/>
                <w:numId w:val="25"/>
              </w:numPr>
              <w:spacing w:line="360" w:lineRule="auto"/>
              <w:jc w:val="left"/>
            </w:pPr>
            <w:r w:rsidRPr="008E40FC">
              <w:t>Low vapo</w:t>
            </w:r>
            <w:r>
              <w:t>u</w:t>
            </w:r>
            <w:r w:rsidRPr="008E40FC">
              <w:t>r demand for recovery</w:t>
            </w:r>
          </w:p>
          <w:p w14:paraId="73103D8B" w14:textId="7947AB48" w:rsidR="00EC4854" w:rsidRPr="008E40FC" w:rsidRDefault="00EC4854" w:rsidP="00EC4854">
            <w:pPr>
              <w:pStyle w:val="CETBodytext"/>
              <w:spacing w:line="360" w:lineRule="auto"/>
              <w:ind w:left="720"/>
              <w:jc w:val="left"/>
            </w:pPr>
          </w:p>
        </w:tc>
      </w:tr>
      <w:tr w:rsidR="00EC4854" w:rsidRPr="00B57B36" w14:paraId="386DDA45" w14:textId="77777777" w:rsidTr="00FC41C7">
        <w:trPr>
          <w:trHeight w:val="159"/>
        </w:trPr>
        <w:tc>
          <w:tcPr>
            <w:tcW w:w="2242" w:type="dxa"/>
            <w:shd w:val="clear" w:color="auto" w:fill="FFFFFF"/>
          </w:tcPr>
          <w:p w14:paraId="3817E9E5" w14:textId="695B4887" w:rsidR="00EC4854" w:rsidRDefault="00EC4854" w:rsidP="00EC4854">
            <w:pPr>
              <w:pStyle w:val="CETBodytext"/>
              <w:ind w:right="-1"/>
            </w:pPr>
            <w:r>
              <w:t>PZ (piperazine)</w:t>
            </w:r>
          </w:p>
        </w:tc>
        <w:tc>
          <w:tcPr>
            <w:tcW w:w="3644" w:type="dxa"/>
            <w:shd w:val="clear" w:color="auto" w:fill="FFFFFF"/>
          </w:tcPr>
          <w:p w14:paraId="0874D4C1" w14:textId="6DFA5D79" w:rsidR="00EC4854" w:rsidRPr="008E40FC" w:rsidRDefault="00EC4854" w:rsidP="00EC4854">
            <w:pPr>
              <w:pStyle w:val="CETBodytext"/>
              <w:numPr>
                <w:ilvl w:val="0"/>
                <w:numId w:val="26"/>
              </w:numPr>
              <w:spacing w:line="360" w:lineRule="auto"/>
              <w:jc w:val="left"/>
            </w:pPr>
            <w:r w:rsidRPr="008E40FC">
              <w:t>Limited concentration for usage</w:t>
            </w:r>
          </w:p>
        </w:tc>
        <w:tc>
          <w:tcPr>
            <w:tcW w:w="2924" w:type="dxa"/>
            <w:shd w:val="clear" w:color="auto" w:fill="FFFFFF"/>
          </w:tcPr>
          <w:p w14:paraId="38E0E384" w14:textId="77777777" w:rsidR="00EC4854" w:rsidRDefault="00EC4854" w:rsidP="00EC4854">
            <w:pPr>
              <w:pStyle w:val="CETBodytext"/>
              <w:numPr>
                <w:ilvl w:val="0"/>
                <w:numId w:val="29"/>
              </w:numPr>
              <w:spacing w:line="360" w:lineRule="auto"/>
              <w:jc w:val="left"/>
            </w:pPr>
            <w:r w:rsidRPr="008E40FC">
              <w:t>High absorption capacity, about two times of MEA</w:t>
            </w:r>
          </w:p>
          <w:p w14:paraId="55B081C0" w14:textId="77777777" w:rsidR="00EC4854" w:rsidRPr="00EC4854" w:rsidRDefault="00EC4854" w:rsidP="00EC4854">
            <w:pPr>
              <w:pStyle w:val="CETBodytext"/>
              <w:numPr>
                <w:ilvl w:val="0"/>
                <w:numId w:val="28"/>
              </w:numPr>
              <w:spacing w:line="360" w:lineRule="auto"/>
              <w:jc w:val="left"/>
            </w:pPr>
            <w:r w:rsidRPr="008E40FC">
              <w:t>Carbamate production when reacts with CO</w:t>
            </w:r>
            <w:r w:rsidRPr="005A5C5A">
              <w:rPr>
                <w:vertAlign w:val="subscript"/>
              </w:rPr>
              <w:t>2</w:t>
            </w:r>
          </w:p>
          <w:p w14:paraId="0512AC6F" w14:textId="2F652105" w:rsidR="00EC4854" w:rsidRPr="008E40FC" w:rsidRDefault="00EC4854" w:rsidP="00EC4854">
            <w:pPr>
              <w:pStyle w:val="CETBodytext"/>
              <w:spacing w:line="360" w:lineRule="auto"/>
              <w:ind w:left="720"/>
              <w:jc w:val="left"/>
            </w:pPr>
          </w:p>
        </w:tc>
      </w:tr>
      <w:tr w:rsidR="00EC4854" w:rsidRPr="00B57B36" w14:paraId="48365EC1" w14:textId="77777777" w:rsidTr="00FC41C7">
        <w:trPr>
          <w:trHeight w:val="159"/>
        </w:trPr>
        <w:tc>
          <w:tcPr>
            <w:tcW w:w="2242" w:type="dxa"/>
            <w:shd w:val="clear" w:color="auto" w:fill="FFFFFF"/>
          </w:tcPr>
          <w:p w14:paraId="1F07F4E0" w14:textId="68DDED00" w:rsidR="00EC4854" w:rsidRDefault="00EC4854" w:rsidP="00EC4854">
            <w:pPr>
              <w:pStyle w:val="CETBodytext"/>
              <w:ind w:right="-1"/>
            </w:pPr>
            <w:r>
              <w:t xml:space="preserve">AEEA </w:t>
            </w:r>
            <w:r w:rsidRPr="00F537E4">
              <w:t>(2-aminoethyl) ethanolamine</w:t>
            </w:r>
            <w:r>
              <w:t>)</w:t>
            </w:r>
          </w:p>
        </w:tc>
        <w:tc>
          <w:tcPr>
            <w:tcW w:w="3644" w:type="dxa"/>
            <w:shd w:val="clear" w:color="auto" w:fill="FFFFFF"/>
          </w:tcPr>
          <w:p w14:paraId="0F4A0268" w14:textId="24D9FF81" w:rsidR="00EC4854" w:rsidRPr="008E40FC" w:rsidRDefault="00EC4854" w:rsidP="00EC4854">
            <w:pPr>
              <w:pStyle w:val="CETBodytext"/>
              <w:numPr>
                <w:ilvl w:val="0"/>
                <w:numId w:val="26"/>
              </w:numPr>
              <w:spacing w:line="360" w:lineRule="auto"/>
              <w:jc w:val="left"/>
            </w:pPr>
            <w:r w:rsidRPr="008E40FC">
              <w:t>Solvent degradation</w:t>
            </w:r>
          </w:p>
        </w:tc>
        <w:tc>
          <w:tcPr>
            <w:tcW w:w="2924" w:type="dxa"/>
            <w:shd w:val="clear" w:color="auto" w:fill="FFFFFF"/>
          </w:tcPr>
          <w:p w14:paraId="5A2BBDEC" w14:textId="77777777" w:rsidR="00EC4854" w:rsidRDefault="00EC4854" w:rsidP="00EC4854">
            <w:pPr>
              <w:pStyle w:val="CETBodytext"/>
              <w:numPr>
                <w:ilvl w:val="0"/>
                <w:numId w:val="31"/>
              </w:numPr>
              <w:spacing w:line="360" w:lineRule="auto"/>
              <w:jc w:val="left"/>
            </w:pPr>
            <w:r w:rsidRPr="008E40FC">
              <w:t>High CO</w:t>
            </w:r>
            <w:r w:rsidRPr="008E40FC">
              <w:rPr>
                <w:vertAlign w:val="subscript"/>
              </w:rPr>
              <w:t>2</w:t>
            </w:r>
            <w:r w:rsidRPr="008E40FC">
              <w:t xml:space="preserve"> absorption and </w:t>
            </w:r>
            <w:r>
              <w:t>cyclic absorption</w:t>
            </w:r>
            <w:r w:rsidRPr="008E40FC">
              <w:t xml:space="preserve"> capacity</w:t>
            </w:r>
            <w:r>
              <w:t>.</w:t>
            </w:r>
            <w:r w:rsidRPr="008E40FC">
              <w:t xml:space="preserve"> </w:t>
            </w:r>
          </w:p>
          <w:p w14:paraId="254AF8C5" w14:textId="5B21DA34" w:rsidR="00EC4854" w:rsidRPr="008E40FC" w:rsidRDefault="00EC4854" w:rsidP="00EC4854">
            <w:pPr>
              <w:pStyle w:val="CETBodytext"/>
              <w:numPr>
                <w:ilvl w:val="0"/>
                <w:numId w:val="29"/>
              </w:numPr>
              <w:spacing w:line="360" w:lineRule="auto"/>
              <w:jc w:val="left"/>
            </w:pPr>
            <w:r w:rsidRPr="008E40FC">
              <w:t>Low energy demand for recovery</w:t>
            </w:r>
            <w:r>
              <w:t>.</w:t>
            </w:r>
          </w:p>
        </w:tc>
      </w:tr>
      <w:tr w:rsidR="00EC4854" w:rsidRPr="00B57B36" w14:paraId="0CDD5FC9" w14:textId="77777777" w:rsidTr="00FC41C7">
        <w:trPr>
          <w:trHeight w:val="102"/>
        </w:trPr>
        <w:tc>
          <w:tcPr>
            <w:tcW w:w="2242" w:type="dxa"/>
            <w:shd w:val="clear" w:color="auto" w:fill="FFFFFF"/>
          </w:tcPr>
          <w:p w14:paraId="18D04959" w14:textId="23B05C77" w:rsidR="00EC4854" w:rsidRDefault="00EC4854" w:rsidP="00EC4854">
            <w:pPr>
              <w:pStyle w:val="CETBodytext"/>
              <w:ind w:right="-1"/>
            </w:pPr>
            <w:r>
              <w:t>AMP (</w:t>
            </w:r>
            <w:r w:rsidRPr="00F537E4">
              <w:t>2- amino-2-methyl-1-propanol</w:t>
            </w:r>
            <w:r>
              <w:t>)</w:t>
            </w:r>
          </w:p>
        </w:tc>
        <w:tc>
          <w:tcPr>
            <w:tcW w:w="3644" w:type="dxa"/>
            <w:shd w:val="clear" w:color="auto" w:fill="FFFFFF"/>
          </w:tcPr>
          <w:p w14:paraId="099A9A33" w14:textId="3FD80EC8" w:rsidR="00EC4854" w:rsidRPr="008E40FC" w:rsidRDefault="00EC4854" w:rsidP="00EC4854">
            <w:pPr>
              <w:pStyle w:val="CETBodytext"/>
              <w:numPr>
                <w:ilvl w:val="0"/>
                <w:numId w:val="26"/>
              </w:numPr>
              <w:spacing w:line="360" w:lineRule="auto"/>
              <w:jc w:val="left"/>
            </w:pPr>
            <w:r w:rsidRPr="008E40FC">
              <w:t>Lower amine-CO</w:t>
            </w:r>
            <w:r w:rsidRPr="005A5C5A">
              <w:rPr>
                <w:vertAlign w:val="subscript"/>
              </w:rPr>
              <w:t>2</w:t>
            </w:r>
            <w:r w:rsidRPr="008E40FC">
              <w:t xml:space="preserve"> mass transfer compared with MEA</w:t>
            </w:r>
          </w:p>
        </w:tc>
        <w:tc>
          <w:tcPr>
            <w:tcW w:w="2924" w:type="dxa"/>
            <w:shd w:val="clear" w:color="auto" w:fill="FFFFFF"/>
          </w:tcPr>
          <w:p w14:paraId="5EBBE86B" w14:textId="77777777" w:rsidR="00EC4854" w:rsidRDefault="00EC4854" w:rsidP="00EC4854">
            <w:pPr>
              <w:pStyle w:val="CETBodytext"/>
              <w:numPr>
                <w:ilvl w:val="0"/>
                <w:numId w:val="32"/>
              </w:numPr>
              <w:spacing w:line="360" w:lineRule="auto"/>
              <w:jc w:val="left"/>
            </w:pPr>
            <w:r w:rsidRPr="008E40FC">
              <w:t>High CO</w:t>
            </w:r>
            <w:r w:rsidRPr="005A5C5A">
              <w:rPr>
                <w:vertAlign w:val="subscript"/>
              </w:rPr>
              <w:t>2</w:t>
            </w:r>
            <w:r w:rsidRPr="008E40FC">
              <w:t xml:space="preserve"> absorption and loading </w:t>
            </w:r>
          </w:p>
          <w:p w14:paraId="0B1A5938" w14:textId="69D041F0" w:rsidR="00EC4854" w:rsidRPr="008E40FC" w:rsidRDefault="00EC4854" w:rsidP="00EC4854">
            <w:pPr>
              <w:pStyle w:val="CETBodytext"/>
              <w:numPr>
                <w:ilvl w:val="0"/>
                <w:numId w:val="31"/>
              </w:numPr>
              <w:spacing w:line="360" w:lineRule="auto"/>
              <w:jc w:val="left"/>
            </w:pPr>
            <w:r w:rsidRPr="008E40FC">
              <w:t>Less corrosive</w:t>
            </w:r>
          </w:p>
        </w:tc>
      </w:tr>
    </w:tbl>
    <w:p w14:paraId="07599CCF" w14:textId="6F6E80C8" w:rsidR="003A4EBB" w:rsidRDefault="003A4EBB" w:rsidP="00735CCD">
      <w:pPr>
        <w:pStyle w:val="CETBodytext"/>
      </w:pPr>
    </w:p>
    <w:p w14:paraId="1BD4BBC9" w14:textId="5026FFFA" w:rsidR="00977450" w:rsidRPr="00BD15CB" w:rsidRDefault="00977450" w:rsidP="00BD15CB">
      <w:pPr>
        <w:pStyle w:val="CETBodytext"/>
      </w:pPr>
      <w:r w:rsidRPr="00977450">
        <w:t>The chemical absorption process using amines as solvents in a column is the best known and applied method for CO</w:t>
      </w:r>
      <w:r w:rsidRPr="00BD15CB">
        <w:rPr>
          <w:vertAlign w:val="subscript"/>
        </w:rPr>
        <w:t>2</w:t>
      </w:r>
      <w:r w:rsidRPr="00977450">
        <w:t xml:space="preserve"> capture. Where methyldiethanolamine (MDEA) stands out as a</w:t>
      </w:r>
      <w:r w:rsidR="00BD15CB">
        <w:t xml:space="preserve"> conventional</w:t>
      </w:r>
      <w:r w:rsidRPr="00977450">
        <w:t xml:space="preserve"> solvent for CO</w:t>
      </w:r>
      <w:r w:rsidRPr="00BD15CB">
        <w:rPr>
          <w:vertAlign w:val="subscript"/>
        </w:rPr>
        <w:t>2</w:t>
      </w:r>
      <w:r w:rsidRPr="00977450">
        <w:t xml:space="preserve"> capture</w:t>
      </w:r>
      <w:r w:rsidR="00BD15CB">
        <w:t>,</w:t>
      </w:r>
      <w:r w:rsidRPr="00977450">
        <w:t xml:space="preserve"> it provides low fugitive emissions, in addition to the fact that the process has low regeneration heat and offers a high CO</w:t>
      </w:r>
      <w:r w:rsidRPr="00BD15CB">
        <w:rPr>
          <w:vertAlign w:val="subscript"/>
        </w:rPr>
        <w:t>2</w:t>
      </w:r>
      <w:r w:rsidRPr="00977450">
        <w:t xml:space="preserve"> absorption capacity (Shahid et al., 2021). In addition, it is the most suitable solvent for </w:t>
      </w:r>
      <w:r w:rsidR="00BD15CB">
        <w:t>processing natural gas, which needs to remove CO</w:t>
      </w:r>
      <w:r w:rsidR="00BD15CB" w:rsidRPr="00BD15CB">
        <w:rPr>
          <w:vertAlign w:val="subscript"/>
        </w:rPr>
        <w:t>2</w:t>
      </w:r>
      <w:r w:rsidR="00BD15CB">
        <w:t>, and such a process is carried out under</w:t>
      </w:r>
      <w:r w:rsidRPr="00977450">
        <w:t xml:space="preserve"> high pressure </w:t>
      </w:r>
      <w:r>
        <w:t>and high concentrations of CO</w:t>
      </w:r>
      <w:r w:rsidRPr="00BD15CB">
        <w:rPr>
          <w:vertAlign w:val="subscript"/>
        </w:rPr>
        <w:t>2</w:t>
      </w:r>
      <w:r>
        <w:t xml:space="preserve">. </w:t>
      </w:r>
      <w:r w:rsidR="00BD15CB">
        <w:t>Using primary and secondary amines produces a direct reaction with CO</w:t>
      </w:r>
      <w:r w:rsidR="00BD15CB" w:rsidRPr="00BD15CB">
        <w:rPr>
          <w:vertAlign w:val="subscript"/>
        </w:rPr>
        <w:t>2</w:t>
      </w:r>
      <w:r w:rsidRPr="00977450">
        <w:t xml:space="preserve">. In the case of tertiary amines, there are stages before the reaction in the capture process (see Table 2). Both primary and </w:t>
      </w:r>
      <w:r w:rsidRPr="00977450">
        <w:lastRenderedPageBreak/>
        <w:t xml:space="preserve">secondary amines are weak bases that tend to react with CO2 to form carbamates (Ooi et al., 2020). This reaction is reversible; therefore, the amine solvent can be regenerated for </w:t>
      </w:r>
      <w:r w:rsidR="00BD15CB">
        <w:t>subsequen</w:t>
      </w:r>
      <w:r w:rsidRPr="00977450">
        <w:t>t absorption use.</w:t>
      </w:r>
    </w:p>
    <w:p w14:paraId="5B62983B" w14:textId="24E8BEFB" w:rsidR="00030CEF" w:rsidRDefault="002F4E06" w:rsidP="00977450">
      <w:pPr>
        <w:pStyle w:val="CETTabletitle"/>
        <w:rPr>
          <w:lang w:val="en-US"/>
        </w:rPr>
      </w:pPr>
      <w:r w:rsidRPr="002F4E06">
        <w:rPr>
          <w:lang w:val="en-US"/>
        </w:rPr>
        <w:t>Tabl</w:t>
      </w:r>
      <w:r>
        <w:rPr>
          <w:lang w:val="en-US"/>
        </w:rPr>
        <w:t>e</w:t>
      </w:r>
      <w:r w:rsidR="00CD2292" w:rsidRPr="002F4E06">
        <w:rPr>
          <w:lang w:val="en-US"/>
        </w:rPr>
        <w:t xml:space="preserve"> 2:</w:t>
      </w:r>
      <w:r w:rsidR="0032211F" w:rsidRPr="002F4E06">
        <w:rPr>
          <w:lang w:val="en-US"/>
        </w:rPr>
        <w:t xml:space="preserve"> </w:t>
      </w:r>
      <w:r w:rsidRPr="002F4E06">
        <w:rPr>
          <w:lang w:val="en-US"/>
        </w:rPr>
        <w:t>Primary, secondary</w:t>
      </w:r>
      <w:r w:rsidR="00977450">
        <w:rPr>
          <w:lang w:val="en-US"/>
        </w:rPr>
        <w:t>,</w:t>
      </w:r>
      <w:r w:rsidRPr="002F4E06">
        <w:rPr>
          <w:lang w:val="en-US"/>
        </w:rPr>
        <w:t xml:space="preserve"> and tertiary amine reactions with CO</w:t>
      </w:r>
      <w:r w:rsidRPr="0092563D">
        <w:rPr>
          <w:vertAlign w:val="subscript"/>
          <w:lang w:val="en-US"/>
        </w:rPr>
        <w:t>2</w:t>
      </w:r>
      <w:r w:rsidRPr="002F4E06">
        <w:rPr>
          <w:lang w:val="en-US"/>
        </w:rPr>
        <w:t xml:space="preserve"> </w:t>
      </w:r>
      <w:r w:rsidR="00030CEF" w:rsidRPr="002F4E06">
        <w:fldChar w:fldCharType="begin" w:fldLock="1"/>
      </w:r>
      <w:r w:rsidR="00030CEF" w:rsidRPr="002F4E06">
        <w:rPr>
          <w:lang w:val="en-US"/>
        </w:rPr>
        <w:instrText>ADDIN CSL_CITATION {"citationItems":[{"id":"ITEM-1","itemData":{"DOI":"10.1016/j.cjche.2020.02.029","ISSN":"10049541","abstract":"Carbon dioxide (CO2) is one of the commonly emitted gaseous by-products in industrial processes. While CO2 gas is the main cause to greenhouse effect, various CO2 capture technologies have been proposed and implemented to sequester the CO2 before the waste gases being released into the atmosphere. One of the mature technologies for CO2 absorption is by using amine-based solvents. In this regard, different single amine solvents or blended amine solvents have been proven for their capability to remove CO2. However, the dissolution and reaction of CO2 gas with the amine solvents turn the solution corrosive. Such phenomenon is undesired as it posts corrosion problem to the absorption column, which normally built of carbon steel material. Henceforth, understanding the behaviour of different amine-based solvents in absorbing CO2 and its subsequent impact on carbon steel corrosion is very significant. In this review article, we will outline some of the more commonly used solvents and their respective advantages and disadvantages, motivating further investigation into the corrosion tendency. Meanwhile, existing gaps in this research area are discussed for future investigation.","author":[{"dropping-particle":"","family":"Ooi","given":"Zhe Lun","non-dropping-particle":"","parse-names":false,"suffix":""},{"dropping-particle":"","family":"Tan","given":"Pui Yee","non-dropping-particle":"","parse-names":false,"suffix":""},{"dropping-particle":"","family":"Tan","given":"Lian See","non-dropping-particle":"","parse-names":false,"suffix":""},{"dropping-particle":"","family":"Yeap","given":"Swee Pin","non-dropping-particle":"","parse-names":false,"suffix":""}],"container-title":"Chinese Journal of Chemical Engineering","id":"ITEM-1","issue":"5","issued":{"date-parts":[["2020"]]},"page":"1357-1367","publisher":"Elsevier B.V.","title":"Amine-based solvent for CO2 absorption and its impact on carbon steel corrosion: A perspective review","type":"article-journal","volume":"28"},"uris":["http://www.mendeley.com/documents/?uuid=7708fe2b-824b-4e79-8333-7422990aee32"]}],"mendeley":{"formattedCitation":"(Ooi et al., 2020)","plainTextFormattedCitation":"(Ooi et al., 2020)","previouslyFormattedCitation":"(Ooi et al., 2020)"},"properties":{"noteIndex":0},"schema":"https://github.com/citation-style-language/schema/raw/master/csl-citation.json"}</w:instrText>
      </w:r>
      <w:r w:rsidR="00030CEF" w:rsidRPr="002F4E06">
        <w:fldChar w:fldCharType="separate"/>
      </w:r>
      <w:r w:rsidR="00030CEF" w:rsidRPr="002F4E06">
        <w:rPr>
          <w:noProof/>
          <w:lang w:val="en-US"/>
        </w:rPr>
        <w:t>(Ooi et al., 2020)</w:t>
      </w:r>
      <w:r w:rsidR="00030CEF" w:rsidRPr="002F4E06">
        <w:fldChar w:fldCharType="end"/>
      </w:r>
      <w:r w:rsidR="0032211F" w:rsidRPr="002F4E06">
        <w:rPr>
          <w:lang w:val="en-US"/>
        </w:rPr>
        <w:t xml:space="preserve">. </w:t>
      </w:r>
    </w:p>
    <w:tbl>
      <w:tblPr>
        <w:tblW w:w="897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843"/>
        <w:gridCol w:w="4866"/>
      </w:tblGrid>
      <w:tr w:rsidR="00FC41C7" w:rsidRPr="00B57B36" w14:paraId="0B9A43CF" w14:textId="77777777" w:rsidTr="00FC41C7">
        <w:trPr>
          <w:trHeight w:val="3"/>
        </w:trPr>
        <w:tc>
          <w:tcPr>
            <w:tcW w:w="2268" w:type="dxa"/>
            <w:tcBorders>
              <w:top w:val="single" w:sz="12" w:space="0" w:color="008000"/>
              <w:bottom w:val="single" w:sz="6" w:space="0" w:color="008000"/>
            </w:tcBorders>
            <w:shd w:val="clear" w:color="auto" w:fill="FFFFFF"/>
            <w:vAlign w:val="center"/>
          </w:tcPr>
          <w:p w14:paraId="092A56B6" w14:textId="6F9EF1F9" w:rsidR="00FC41C7" w:rsidRPr="00B57B36" w:rsidRDefault="00FC41C7" w:rsidP="00FC41C7">
            <w:pPr>
              <w:pStyle w:val="CETBodytext"/>
              <w:jc w:val="left"/>
              <w:rPr>
                <w:lang w:val="en-GB"/>
              </w:rPr>
            </w:pPr>
            <w:r w:rsidRPr="003A1FF0">
              <w:rPr>
                <w:lang w:val="es-ES"/>
              </w:rPr>
              <w:t>Amine type</w:t>
            </w:r>
          </w:p>
        </w:tc>
        <w:tc>
          <w:tcPr>
            <w:tcW w:w="1843" w:type="dxa"/>
            <w:tcBorders>
              <w:top w:val="single" w:sz="12" w:space="0" w:color="008000"/>
              <w:bottom w:val="single" w:sz="6" w:space="0" w:color="008000"/>
            </w:tcBorders>
            <w:shd w:val="clear" w:color="auto" w:fill="FFFFFF"/>
            <w:vAlign w:val="center"/>
          </w:tcPr>
          <w:p w14:paraId="384D3D10" w14:textId="3A9EA0D6" w:rsidR="00FC41C7" w:rsidRPr="00B57B36" w:rsidRDefault="00FC41C7" w:rsidP="00FC41C7">
            <w:pPr>
              <w:pStyle w:val="CETBodytext"/>
              <w:jc w:val="left"/>
              <w:rPr>
                <w:lang w:val="en-GB"/>
              </w:rPr>
            </w:pPr>
            <w:r w:rsidRPr="003A1FF0">
              <w:rPr>
                <w:lang w:val="es-ES"/>
              </w:rPr>
              <w:t>Form</w:t>
            </w:r>
          </w:p>
        </w:tc>
        <w:tc>
          <w:tcPr>
            <w:tcW w:w="4866" w:type="dxa"/>
            <w:tcBorders>
              <w:top w:val="single" w:sz="12" w:space="0" w:color="008000"/>
              <w:bottom w:val="single" w:sz="6" w:space="0" w:color="008000"/>
            </w:tcBorders>
            <w:shd w:val="clear" w:color="auto" w:fill="FFFFFF"/>
            <w:vAlign w:val="center"/>
          </w:tcPr>
          <w:p w14:paraId="062C6A74" w14:textId="299D324F" w:rsidR="00FC41C7" w:rsidRPr="00B57B36" w:rsidRDefault="00FC41C7" w:rsidP="00FC41C7">
            <w:pPr>
              <w:pStyle w:val="CETBodytext"/>
              <w:jc w:val="left"/>
              <w:rPr>
                <w:lang w:val="en-GB"/>
              </w:rPr>
            </w:pPr>
            <w:r w:rsidRPr="003A1FF0">
              <w:rPr>
                <w:lang w:val="es-ES"/>
              </w:rPr>
              <w:t>Reaction with CO</w:t>
            </w:r>
            <w:r w:rsidRPr="003A1FF0">
              <w:rPr>
                <w:vertAlign w:val="subscript"/>
                <w:lang w:val="es-ES"/>
              </w:rPr>
              <w:t>2</w:t>
            </w:r>
          </w:p>
        </w:tc>
      </w:tr>
      <w:tr w:rsidR="00FC41C7" w:rsidRPr="00B57B36" w14:paraId="0ED161E3" w14:textId="77777777" w:rsidTr="00FC41C7">
        <w:trPr>
          <w:trHeight w:val="208"/>
        </w:trPr>
        <w:tc>
          <w:tcPr>
            <w:tcW w:w="2268" w:type="dxa"/>
            <w:shd w:val="clear" w:color="auto" w:fill="FFFFFF"/>
            <w:vAlign w:val="center"/>
          </w:tcPr>
          <w:p w14:paraId="382800C4" w14:textId="5142C613" w:rsidR="00FC41C7" w:rsidRPr="00B57B36" w:rsidRDefault="00FC41C7" w:rsidP="00FC41C7">
            <w:pPr>
              <w:pStyle w:val="CETBodytext"/>
              <w:jc w:val="left"/>
              <w:rPr>
                <w:lang w:val="en-GB"/>
              </w:rPr>
            </w:pPr>
            <w:r>
              <w:rPr>
                <w:lang w:val="es-ES"/>
              </w:rPr>
              <w:t>P</w:t>
            </w:r>
            <w:r w:rsidRPr="00D769D3">
              <w:rPr>
                <w:lang w:val="es-ES"/>
              </w:rPr>
              <w:t>rimary amines</w:t>
            </w:r>
          </w:p>
        </w:tc>
        <w:tc>
          <w:tcPr>
            <w:tcW w:w="1843" w:type="dxa"/>
            <w:shd w:val="clear" w:color="auto" w:fill="FFFFFF"/>
            <w:vAlign w:val="center"/>
          </w:tcPr>
          <w:p w14:paraId="5B324476" w14:textId="185485A8" w:rsidR="00FC41C7" w:rsidRPr="00B57B36" w:rsidRDefault="00FC41C7" w:rsidP="00FC41C7">
            <w:pPr>
              <w:pStyle w:val="CETBodytext"/>
              <w:jc w:val="left"/>
              <w:rPr>
                <w:lang w:val="en-GB"/>
              </w:rPr>
            </w:pPr>
            <w:r>
              <w:rPr>
                <w:lang w:val="es-ES"/>
              </w:rPr>
              <w:t>Direct</w:t>
            </w:r>
          </w:p>
        </w:tc>
        <w:tc>
          <w:tcPr>
            <w:tcW w:w="4866" w:type="dxa"/>
            <w:shd w:val="clear" w:color="auto" w:fill="FFFFFF"/>
            <w:vAlign w:val="center"/>
          </w:tcPr>
          <w:p w14:paraId="327959C8" w14:textId="51880738" w:rsidR="00FC41C7" w:rsidRPr="00B57B36" w:rsidRDefault="00FC41C7" w:rsidP="00FC41C7">
            <w:pPr>
              <w:pStyle w:val="CETBodytext"/>
              <w:jc w:val="left"/>
              <w:rPr>
                <w:lang w:val="en-GB"/>
              </w:rPr>
            </w:pPr>
            <w:r w:rsidRPr="00030CEF">
              <w:rPr>
                <w:lang w:val="es-ES"/>
              </w:rPr>
              <w:t>CO</w:t>
            </w:r>
            <w:r w:rsidRPr="00030CEF">
              <w:rPr>
                <w:vertAlign w:val="subscript"/>
                <w:lang w:val="es-ES"/>
              </w:rPr>
              <w:t>2</w:t>
            </w:r>
            <w:r w:rsidRPr="00030CEF">
              <w:rPr>
                <w:lang w:val="es-ES"/>
              </w:rPr>
              <w:t xml:space="preserve"> + 2RNH</w:t>
            </w:r>
            <w:r w:rsidRPr="00030CEF">
              <w:rPr>
                <w:vertAlign w:val="subscript"/>
                <w:lang w:val="es-ES"/>
              </w:rPr>
              <w:t>2</w:t>
            </w:r>
            <w:r w:rsidRPr="00030CEF">
              <w:rPr>
                <w:lang w:val="es-ES"/>
              </w:rPr>
              <w:t xml:space="preserve"> ↔ RNHCOO</w:t>
            </w:r>
            <w:r w:rsidRPr="00030CEF">
              <w:rPr>
                <w:vertAlign w:val="superscript"/>
                <w:lang w:val="es-ES"/>
              </w:rPr>
              <w:t>-</w:t>
            </w:r>
            <w:r>
              <w:rPr>
                <w:lang w:val="es-ES"/>
              </w:rPr>
              <w:t xml:space="preserve"> + RNH</w:t>
            </w:r>
            <w:r w:rsidRPr="00D769D3">
              <w:rPr>
                <w:vertAlign w:val="subscript"/>
                <w:lang w:val="es-ES"/>
              </w:rPr>
              <w:t>3</w:t>
            </w:r>
            <w:r w:rsidRPr="00030CEF">
              <w:rPr>
                <w:vertAlign w:val="superscript"/>
                <w:lang w:val="es-ES"/>
              </w:rPr>
              <w:t>+</w:t>
            </w:r>
          </w:p>
        </w:tc>
      </w:tr>
      <w:tr w:rsidR="00FC41C7" w:rsidRPr="00B57B36" w14:paraId="5E3828C9" w14:textId="77777777" w:rsidTr="00FC41C7">
        <w:trPr>
          <w:trHeight w:val="88"/>
        </w:trPr>
        <w:tc>
          <w:tcPr>
            <w:tcW w:w="2268" w:type="dxa"/>
            <w:shd w:val="clear" w:color="auto" w:fill="FFFFFF"/>
            <w:vAlign w:val="center"/>
          </w:tcPr>
          <w:p w14:paraId="7446ABB3" w14:textId="4BB9C52B" w:rsidR="00FC41C7" w:rsidRDefault="00FC41C7" w:rsidP="00FC41C7">
            <w:pPr>
              <w:pStyle w:val="CETBodytext"/>
              <w:ind w:right="-1"/>
              <w:jc w:val="left"/>
              <w:rPr>
                <w:lang w:val="es-ES"/>
              </w:rPr>
            </w:pPr>
          </w:p>
          <w:p w14:paraId="30CDD318" w14:textId="77777777" w:rsidR="00FC41C7" w:rsidRDefault="00FC41C7" w:rsidP="00FC41C7">
            <w:pPr>
              <w:pStyle w:val="CETBodytext"/>
              <w:ind w:right="-1"/>
              <w:jc w:val="left"/>
              <w:rPr>
                <w:lang w:val="es-ES"/>
              </w:rPr>
            </w:pPr>
          </w:p>
          <w:p w14:paraId="11A4FC96" w14:textId="7DB718FD" w:rsidR="00FC41C7" w:rsidRPr="00B57B36" w:rsidRDefault="00FC41C7" w:rsidP="00FC41C7">
            <w:pPr>
              <w:pStyle w:val="CETBodytext"/>
              <w:ind w:right="-1"/>
              <w:jc w:val="left"/>
              <w:rPr>
                <w:rFonts w:cs="Arial"/>
                <w:szCs w:val="18"/>
                <w:lang w:val="en-GB"/>
              </w:rPr>
            </w:pPr>
            <w:r>
              <w:rPr>
                <w:lang w:val="es-ES"/>
              </w:rPr>
              <w:t>Secondary amines</w:t>
            </w:r>
          </w:p>
        </w:tc>
        <w:tc>
          <w:tcPr>
            <w:tcW w:w="1843" w:type="dxa"/>
            <w:shd w:val="clear" w:color="auto" w:fill="FFFFFF"/>
            <w:vAlign w:val="center"/>
          </w:tcPr>
          <w:p w14:paraId="14E20F31" w14:textId="77777777" w:rsidR="00FC41C7" w:rsidRDefault="00FC41C7" w:rsidP="00FC41C7">
            <w:pPr>
              <w:pStyle w:val="CETBodytext"/>
              <w:ind w:right="-1"/>
              <w:jc w:val="left"/>
              <w:rPr>
                <w:lang w:val="es-ES"/>
              </w:rPr>
            </w:pPr>
          </w:p>
          <w:p w14:paraId="017AC609" w14:textId="2E1D0AF1" w:rsidR="00FC41C7" w:rsidRPr="00B57B36" w:rsidRDefault="00FC41C7" w:rsidP="00FC41C7">
            <w:pPr>
              <w:pStyle w:val="CETBodytext"/>
              <w:ind w:right="-1"/>
              <w:jc w:val="left"/>
              <w:rPr>
                <w:rFonts w:cs="Arial"/>
                <w:szCs w:val="18"/>
                <w:lang w:val="en-GB"/>
              </w:rPr>
            </w:pPr>
            <w:r>
              <w:rPr>
                <w:lang w:val="es-ES"/>
              </w:rPr>
              <w:t>Direct</w:t>
            </w:r>
          </w:p>
        </w:tc>
        <w:tc>
          <w:tcPr>
            <w:tcW w:w="4866" w:type="dxa"/>
            <w:shd w:val="clear" w:color="auto" w:fill="FFFFFF"/>
            <w:vAlign w:val="center"/>
          </w:tcPr>
          <w:p w14:paraId="3AD9AC75" w14:textId="77777777" w:rsidR="00FC41C7" w:rsidRDefault="00FC41C7" w:rsidP="00FC41C7">
            <w:pPr>
              <w:pStyle w:val="CETBodytext"/>
              <w:ind w:right="-1"/>
              <w:jc w:val="left"/>
            </w:pPr>
          </w:p>
          <w:p w14:paraId="5E0BFBF1" w14:textId="6985534D" w:rsidR="00FC41C7" w:rsidRPr="00FC41C7" w:rsidRDefault="00FC41C7" w:rsidP="00FC41C7">
            <w:pPr>
              <w:pStyle w:val="CETBodytext"/>
              <w:ind w:right="-1"/>
              <w:jc w:val="left"/>
              <w:rPr>
                <w:rFonts w:cs="Arial"/>
                <w:szCs w:val="18"/>
              </w:rPr>
            </w:pPr>
            <w:r w:rsidRPr="00030CEF">
              <w:t>CO</w:t>
            </w:r>
            <w:r w:rsidRPr="00030CEF">
              <w:rPr>
                <w:vertAlign w:val="subscript"/>
              </w:rPr>
              <w:t>2</w:t>
            </w:r>
            <w:r w:rsidRPr="00030CEF">
              <w:t xml:space="preserve"> + R</w:t>
            </w:r>
            <w:r w:rsidRPr="00030CEF">
              <w:rPr>
                <w:vertAlign w:val="subscript"/>
              </w:rPr>
              <w:t>1</w:t>
            </w:r>
            <w:r w:rsidRPr="00030CEF">
              <w:t>R</w:t>
            </w:r>
            <w:r w:rsidRPr="00030CEF">
              <w:rPr>
                <w:vertAlign w:val="subscript"/>
              </w:rPr>
              <w:t>2</w:t>
            </w:r>
            <w:r w:rsidRPr="00030CEF">
              <w:t>NH + H</w:t>
            </w:r>
            <w:r w:rsidRPr="00030CEF">
              <w:rPr>
                <w:vertAlign w:val="subscript"/>
              </w:rPr>
              <w:t>2</w:t>
            </w:r>
            <w:r w:rsidRPr="00030CEF">
              <w:t>O ↔ R</w:t>
            </w:r>
            <w:r w:rsidRPr="00030CEF">
              <w:rPr>
                <w:vertAlign w:val="subscript"/>
              </w:rPr>
              <w:t>1</w:t>
            </w:r>
            <w:r w:rsidRPr="00030CEF">
              <w:t>R</w:t>
            </w:r>
            <w:r w:rsidRPr="00030CEF">
              <w:rPr>
                <w:vertAlign w:val="subscript"/>
              </w:rPr>
              <w:t>2</w:t>
            </w:r>
            <w:r w:rsidRPr="00030CEF">
              <w:t>NH</w:t>
            </w:r>
            <w:r w:rsidRPr="00030CEF">
              <w:rPr>
                <w:vertAlign w:val="subscript"/>
              </w:rPr>
              <w:t>2</w:t>
            </w:r>
            <w:r w:rsidRPr="00030CEF">
              <w:t xml:space="preserve"> + HCO</w:t>
            </w:r>
            <w:r w:rsidRPr="00030CEF">
              <w:rPr>
                <w:vertAlign w:val="subscript"/>
              </w:rPr>
              <w:t>3</w:t>
            </w:r>
            <w:r w:rsidRPr="00030CEF">
              <w:rPr>
                <w:vertAlign w:val="superscript"/>
              </w:rPr>
              <w:t>-</w:t>
            </w:r>
          </w:p>
        </w:tc>
      </w:tr>
      <w:tr w:rsidR="00FC41C7" w:rsidRPr="00B57B36" w14:paraId="2D694CC8" w14:textId="77777777" w:rsidTr="00FC41C7">
        <w:trPr>
          <w:trHeight w:val="85"/>
        </w:trPr>
        <w:tc>
          <w:tcPr>
            <w:tcW w:w="2268" w:type="dxa"/>
            <w:shd w:val="clear" w:color="auto" w:fill="FFFFFF"/>
            <w:vAlign w:val="center"/>
          </w:tcPr>
          <w:p w14:paraId="2B819CCF" w14:textId="48FB0A39" w:rsidR="00FC41C7" w:rsidRDefault="00FC41C7" w:rsidP="00FC41C7">
            <w:pPr>
              <w:pStyle w:val="CETBodytext"/>
              <w:ind w:right="-1"/>
              <w:jc w:val="left"/>
              <w:rPr>
                <w:lang w:val="es-ES"/>
              </w:rPr>
            </w:pPr>
            <w:r>
              <w:rPr>
                <w:lang w:val="es-ES"/>
              </w:rPr>
              <w:t>Tertiary amines</w:t>
            </w:r>
          </w:p>
        </w:tc>
        <w:tc>
          <w:tcPr>
            <w:tcW w:w="1843" w:type="dxa"/>
            <w:shd w:val="clear" w:color="auto" w:fill="FFFFFF"/>
            <w:vAlign w:val="center"/>
          </w:tcPr>
          <w:p w14:paraId="2669795B" w14:textId="5ED082FF" w:rsidR="00FC41C7" w:rsidRPr="00B57B36" w:rsidRDefault="00FC41C7" w:rsidP="00FC41C7">
            <w:pPr>
              <w:pStyle w:val="CETBodytext"/>
              <w:ind w:right="-1"/>
              <w:jc w:val="left"/>
              <w:rPr>
                <w:rFonts w:cs="Arial"/>
                <w:szCs w:val="18"/>
                <w:lang w:val="en-GB"/>
              </w:rPr>
            </w:pPr>
            <w:r w:rsidRPr="00D769D3">
              <w:rPr>
                <w:lang w:val="es-ES"/>
              </w:rPr>
              <w:t>by stages</w:t>
            </w:r>
          </w:p>
        </w:tc>
        <w:tc>
          <w:tcPr>
            <w:tcW w:w="4866" w:type="dxa"/>
            <w:shd w:val="clear" w:color="auto" w:fill="FFFFFF"/>
            <w:vAlign w:val="center"/>
          </w:tcPr>
          <w:p w14:paraId="1034CEF2" w14:textId="77777777" w:rsidR="00FC41C7" w:rsidRDefault="00FC41C7" w:rsidP="00FC41C7">
            <w:pPr>
              <w:pStyle w:val="CETBodytext"/>
              <w:spacing w:line="360" w:lineRule="auto"/>
              <w:jc w:val="left"/>
            </w:pPr>
          </w:p>
          <w:p w14:paraId="37B7C07B" w14:textId="54F3CB97" w:rsidR="00FC41C7" w:rsidRPr="00FC41C7" w:rsidRDefault="00FC41C7" w:rsidP="00FC41C7">
            <w:pPr>
              <w:pStyle w:val="CETBodytext"/>
              <w:spacing w:line="360" w:lineRule="auto"/>
              <w:jc w:val="left"/>
              <w:rPr>
                <w:vertAlign w:val="superscript"/>
              </w:rPr>
            </w:pPr>
            <w:r w:rsidRPr="005A5C5A">
              <w:t>CO</w:t>
            </w:r>
            <w:r w:rsidRPr="005A5C5A">
              <w:rPr>
                <w:vertAlign w:val="subscript"/>
              </w:rPr>
              <w:t>2</w:t>
            </w:r>
            <w:r w:rsidRPr="005A5C5A">
              <w:t xml:space="preserve"> + H</w:t>
            </w:r>
            <w:r w:rsidRPr="005A5C5A">
              <w:rPr>
                <w:vertAlign w:val="subscript"/>
              </w:rPr>
              <w:t>2</w:t>
            </w:r>
            <w:r w:rsidRPr="005A5C5A">
              <w:t xml:space="preserve">O </w:t>
            </w:r>
            <w:r w:rsidRPr="005A5C5A">
              <w:rPr>
                <w:rFonts w:ascii="Cambria Math" w:hAnsi="Cambria Math" w:cs="Cambria Math"/>
              </w:rPr>
              <w:t>⇌</w:t>
            </w:r>
            <w:r w:rsidRPr="005A5C5A">
              <w:t xml:space="preserve"> H</w:t>
            </w:r>
            <w:r w:rsidRPr="005A5C5A">
              <w:rPr>
                <w:vertAlign w:val="superscript"/>
              </w:rPr>
              <w:t xml:space="preserve">+ </w:t>
            </w:r>
            <w:r w:rsidRPr="005A5C5A">
              <w:t>+ HCO</w:t>
            </w:r>
            <w:r w:rsidRPr="005A5C5A">
              <w:rPr>
                <w:vertAlign w:val="subscript"/>
              </w:rPr>
              <w:t>3</w:t>
            </w:r>
            <w:r w:rsidRPr="005A5C5A">
              <w:rPr>
                <w:vertAlign w:val="superscript"/>
              </w:rPr>
              <w:t>-</w:t>
            </w:r>
          </w:p>
          <w:p w14:paraId="6650D515" w14:textId="1FD67191" w:rsidR="00FC41C7" w:rsidRDefault="00FC41C7" w:rsidP="00FC41C7">
            <w:pPr>
              <w:pStyle w:val="CETBodytext"/>
              <w:spacing w:line="360" w:lineRule="auto"/>
              <w:jc w:val="left"/>
            </w:pPr>
            <w:r w:rsidRPr="00030CEF">
              <w:t>HCO</w:t>
            </w:r>
            <w:r w:rsidRPr="00D769D3">
              <w:rPr>
                <w:vertAlign w:val="subscript"/>
              </w:rPr>
              <w:t>3</w:t>
            </w:r>
            <w:r w:rsidRPr="00030CEF">
              <w:rPr>
                <w:vertAlign w:val="superscript"/>
              </w:rPr>
              <w:t>-</w:t>
            </w:r>
            <w:r w:rsidRPr="00030CEF">
              <w:t xml:space="preserve"> </w:t>
            </w:r>
            <w:r w:rsidRPr="00030CEF">
              <w:rPr>
                <w:rFonts w:ascii="Cambria Math" w:hAnsi="Cambria Math" w:cs="Cambria Math"/>
              </w:rPr>
              <w:t>⇌</w:t>
            </w:r>
            <w:r w:rsidRPr="00030CEF">
              <w:t xml:space="preserve"> H</w:t>
            </w:r>
            <w:r w:rsidRPr="00030CEF">
              <w:rPr>
                <w:vertAlign w:val="superscript"/>
              </w:rPr>
              <w:t>+</w:t>
            </w:r>
            <w:r w:rsidRPr="00030CEF">
              <w:t xml:space="preserve"> + CO</w:t>
            </w:r>
            <w:r w:rsidRPr="00030CEF">
              <w:rPr>
                <w:vertAlign w:val="subscript"/>
              </w:rPr>
              <w:t>3</w:t>
            </w:r>
            <w:r w:rsidRPr="00030CEF">
              <w:rPr>
                <w:vertAlign w:val="superscript"/>
              </w:rPr>
              <w:t>-</w:t>
            </w:r>
          </w:p>
          <w:p w14:paraId="37616ED4" w14:textId="460B77D8" w:rsidR="00FC41C7" w:rsidRPr="00FC41C7" w:rsidRDefault="00FC41C7" w:rsidP="00FC41C7">
            <w:pPr>
              <w:pStyle w:val="CETBodytext"/>
              <w:ind w:right="-1"/>
              <w:jc w:val="left"/>
            </w:pPr>
            <w:r w:rsidRPr="00030CEF">
              <w:t>H</w:t>
            </w:r>
            <w:r w:rsidRPr="00030CEF">
              <w:rPr>
                <w:vertAlign w:val="superscript"/>
              </w:rPr>
              <w:t>+</w:t>
            </w:r>
            <w:r w:rsidRPr="00030CEF">
              <w:t>+ R</w:t>
            </w:r>
            <w:r w:rsidRPr="00030CEF">
              <w:rPr>
                <w:vertAlign w:val="subscript"/>
              </w:rPr>
              <w:t>1</w:t>
            </w:r>
            <w:r w:rsidRPr="00030CEF">
              <w:t>R</w:t>
            </w:r>
            <w:r w:rsidRPr="00030CEF">
              <w:rPr>
                <w:vertAlign w:val="subscript"/>
              </w:rPr>
              <w:t>2</w:t>
            </w:r>
            <w:r w:rsidRPr="00030CEF">
              <w:t>R</w:t>
            </w:r>
            <w:r w:rsidRPr="00030CEF">
              <w:rPr>
                <w:vertAlign w:val="subscript"/>
              </w:rPr>
              <w:t>3</w:t>
            </w:r>
            <w:r w:rsidRPr="00030CEF">
              <w:t>N ↔ R</w:t>
            </w:r>
            <w:r w:rsidRPr="00030CEF">
              <w:rPr>
                <w:vertAlign w:val="subscript"/>
              </w:rPr>
              <w:t>1</w:t>
            </w:r>
            <w:r w:rsidRPr="00030CEF">
              <w:t>R</w:t>
            </w:r>
            <w:r w:rsidRPr="00030CEF">
              <w:rPr>
                <w:vertAlign w:val="subscript"/>
              </w:rPr>
              <w:t>2</w:t>
            </w:r>
            <w:r w:rsidRPr="00030CEF">
              <w:t>R</w:t>
            </w:r>
            <w:r w:rsidRPr="00030CEF">
              <w:rPr>
                <w:vertAlign w:val="subscript"/>
              </w:rPr>
              <w:t>3</w:t>
            </w:r>
            <w:r w:rsidRPr="00030CEF">
              <w:t>NH</w:t>
            </w:r>
            <w:r w:rsidRPr="00030CEF">
              <w:rPr>
                <w:vertAlign w:val="superscript"/>
              </w:rPr>
              <w:t>+</w:t>
            </w:r>
          </w:p>
        </w:tc>
      </w:tr>
    </w:tbl>
    <w:p w14:paraId="2FBD41BB" w14:textId="0D134B53" w:rsidR="004066F7" w:rsidRPr="008A08B2" w:rsidRDefault="009848C5" w:rsidP="008A08B2">
      <w:pPr>
        <w:pStyle w:val="CETHeading1"/>
        <w:jc w:val="both"/>
        <w:rPr>
          <w:shd w:val="clear" w:color="auto" w:fill="FFFFFF"/>
        </w:rPr>
      </w:pPr>
      <w:r w:rsidRPr="008A08B2">
        <w:rPr>
          <w:shd w:val="clear" w:color="auto" w:fill="FFFFFF"/>
        </w:rPr>
        <w:t xml:space="preserve">3. </w:t>
      </w:r>
      <w:r w:rsidR="00D769D3" w:rsidRPr="008A08B2">
        <w:rPr>
          <w:shd w:val="clear" w:color="auto" w:fill="FFFFFF"/>
        </w:rPr>
        <w:t>Effect</w:t>
      </w:r>
      <w:r w:rsidR="0085287E" w:rsidRPr="008A08B2">
        <w:rPr>
          <w:shd w:val="clear" w:color="auto" w:fill="FFFFFF"/>
        </w:rPr>
        <w:t>s</w:t>
      </w:r>
      <w:r w:rsidR="00D769D3" w:rsidRPr="008A08B2">
        <w:rPr>
          <w:shd w:val="clear" w:color="auto" w:fill="FFFFFF"/>
        </w:rPr>
        <w:t xml:space="preserve"> of the composition and amines</w:t>
      </w:r>
      <w:r w:rsidR="0085287E" w:rsidRPr="008A08B2">
        <w:rPr>
          <w:shd w:val="clear" w:color="auto" w:fill="FFFFFF"/>
        </w:rPr>
        <w:t xml:space="preserve"> structure</w:t>
      </w:r>
    </w:p>
    <w:p w14:paraId="7091A4BB" w14:textId="0A5DD88C" w:rsidR="00202A85" w:rsidRDefault="00977450" w:rsidP="00BD15CB">
      <w:pPr>
        <w:pStyle w:val="CETTabletitle"/>
        <w:jc w:val="both"/>
        <w:rPr>
          <w:lang w:val="en-US"/>
        </w:rPr>
      </w:pPr>
      <w:r w:rsidRPr="00977450">
        <w:rPr>
          <w:i w:val="0"/>
          <w:lang w:val="en-US"/>
        </w:rPr>
        <w:t>To analyze the effects of concentration in amine-based solutions (MEA, DEA, MDEA, AMP, PZ) under saturation conditions at 80 °C on the corrosion rate of carbon steel 1018 (CS 1018), a carried out a research work where it was observed that the primary amine MEA presents the highest corrosion rate (4.17 mm/y), this was due to the formation of carbamates among its main reaction products, followed by the amines</w:t>
      </w:r>
      <w:r w:rsidR="00444A5B">
        <w:rPr>
          <w:i w:val="0"/>
          <w:lang w:val="en-US"/>
        </w:rPr>
        <w:t xml:space="preserve"> AMP, </w:t>
      </w:r>
      <w:r w:rsidRPr="00977450">
        <w:rPr>
          <w:i w:val="0"/>
          <w:lang w:val="en-US"/>
        </w:rPr>
        <w:t>DEA, PZ and finally the MDEA, this being the lowest (0.89 mm/y), as shown in t</w:t>
      </w:r>
      <w:r w:rsidR="00444A5B">
        <w:rPr>
          <w:i w:val="0"/>
          <w:lang w:val="en-US"/>
        </w:rPr>
        <w:t>able 3 (Gunasekaran et al., 2017</w:t>
      </w:r>
      <w:r w:rsidRPr="00977450">
        <w:rPr>
          <w:i w:val="0"/>
          <w:lang w:val="en-US"/>
        </w:rPr>
        <w:t>).</w:t>
      </w:r>
    </w:p>
    <w:p w14:paraId="55C08092" w14:textId="26ED92FB" w:rsidR="00030CEF" w:rsidRDefault="00D769D3" w:rsidP="00CD2292">
      <w:pPr>
        <w:pStyle w:val="CETTabletitle"/>
        <w:rPr>
          <w:lang w:val="en-US"/>
        </w:rPr>
      </w:pPr>
      <w:r>
        <w:rPr>
          <w:lang w:val="en-US"/>
        </w:rPr>
        <w:t>Table 3:</w:t>
      </w:r>
      <w:r w:rsidRPr="00D769D3">
        <w:rPr>
          <w:lang w:val="en-US"/>
        </w:rPr>
        <w:t xml:space="preserve"> Effect of amine concentration on pH and corrosion rate in CS 1018 carbon st</w:t>
      </w:r>
      <w:r w:rsidR="00444A5B">
        <w:rPr>
          <w:lang w:val="en-US"/>
        </w:rPr>
        <w:t>eel (Gunasekarana et al., 2017</w:t>
      </w:r>
      <w:r>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20"/>
        <w:gridCol w:w="1720"/>
        <w:gridCol w:w="1720"/>
        <w:gridCol w:w="1720"/>
        <w:gridCol w:w="1720"/>
      </w:tblGrid>
      <w:tr w:rsidR="00FC41C7" w:rsidRPr="00B57B36" w14:paraId="29D2B707" w14:textId="77777777" w:rsidTr="00FC41C7">
        <w:trPr>
          <w:trHeight w:val="9"/>
        </w:trPr>
        <w:tc>
          <w:tcPr>
            <w:tcW w:w="1720" w:type="dxa"/>
            <w:tcBorders>
              <w:top w:val="single" w:sz="12" w:space="0" w:color="008000"/>
              <w:bottom w:val="single" w:sz="6" w:space="0" w:color="008000"/>
            </w:tcBorders>
            <w:shd w:val="clear" w:color="auto" w:fill="FFFFFF"/>
            <w:vAlign w:val="center"/>
          </w:tcPr>
          <w:p w14:paraId="262716D6" w14:textId="64779849" w:rsidR="00FC41C7" w:rsidRPr="00B57B36" w:rsidRDefault="00FC41C7" w:rsidP="00FC41C7">
            <w:pPr>
              <w:pStyle w:val="CETBodytext"/>
              <w:jc w:val="left"/>
              <w:rPr>
                <w:lang w:val="en-GB"/>
              </w:rPr>
            </w:pPr>
            <w:r w:rsidRPr="003A1FF0">
              <w:rPr>
                <w:lang w:val="es-ES"/>
              </w:rPr>
              <w:t>Amine type</w:t>
            </w:r>
          </w:p>
        </w:tc>
        <w:tc>
          <w:tcPr>
            <w:tcW w:w="1720" w:type="dxa"/>
            <w:tcBorders>
              <w:top w:val="single" w:sz="12" w:space="0" w:color="008000"/>
              <w:bottom w:val="single" w:sz="6" w:space="0" w:color="008000"/>
            </w:tcBorders>
            <w:shd w:val="clear" w:color="auto" w:fill="FFFFFF"/>
            <w:vAlign w:val="center"/>
          </w:tcPr>
          <w:p w14:paraId="44A3E29D" w14:textId="14CA1C31" w:rsidR="00FC41C7" w:rsidRPr="00B57B36" w:rsidRDefault="00FC41C7" w:rsidP="00FC41C7">
            <w:pPr>
              <w:pStyle w:val="CETBodytext"/>
              <w:jc w:val="left"/>
              <w:rPr>
                <w:lang w:val="en-GB"/>
              </w:rPr>
            </w:pPr>
            <w:r w:rsidRPr="003A1FF0">
              <w:rPr>
                <w:lang w:val="es-ES"/>
              </w:rPr>
              <w:t>Conditions</w:t>
            </w:r>
          </w:p>
        </w:tc>
        <w:tc>
          <w:tcPr>
            <w:tcW w:w="1720" w:type="dxa"/>
            <w:tcBorders>
              <w:top w:val="single" w:sz="12" w:space="0" w:color="008000"/>
              <w:bottom w:val="single" w:sz="6" w:space="0" w:color="008000"/>
            </w:tcBorders>
            <w:shd w:val="clear" w:color="auto" w:fill="FFFFFF"/>
            <w:vAlign w:val="center"/>
          </w:tcPr>
          <w:p w14:paraId="5E3976D4" w14:textId="1463DE77" w:rsidR="00FC41C7" w:rsidRPr="00B57B36" w:rsidRDefault="00FC41C7" w:rsidP="00E26BF7">
            <w:pPr>
              <w:pStyle w:val="CETBodytext"/>
              <w:jc w:val="left"/>
              <w:rPr>
                <w:lang w:val="en-GB"/>
              </w:rPr>
            </w:pPr>
            <w:r w:rsidRPr="003A1FF0">
              <w:rPr>
                <w:lang w:val="es-ES"/>
              </w:rPr>
              <w:t>Concentration (</w:t>
            </w:r>
            <w:r w:rsidR="00E26BF7">
              <w:rPr>
                <w:lang w:val="es-ES"/>
              </w:rPr>
              <w:t>mol CO</w:t>
            </w:r>
            <w:r w:rsidR="00E26BF7" w:rsidRPr="00E26BF7">
              <w:rPr>
                <w:vertAlign w:val="subscript"/>
                <w:lang w:val="es-ES"/>
              </w:rPr>
              <w:t>2</w:t>
            </w:r>
            <w:r w:rsidR="00E26BF7">
              <w:rPr>
                <w:lang w:val="es-ES"/>
              </w:rPr>
              <w:t>/ amine</w:t>
            </w:r>
            <w:r w:rsidRPr="003A1FF0">
              <w:rPr>
                <w:lang w:val="es-ES"/>
              </w:rPr>
              <w:t>)</w:t>
            </w:r>
          </w:p>
        </w:tc>
        <w:tc>
          <w:tcPr>
            <w:tcW w:w="1720" w:type="dxa"/>
            <w:tcBorders>
              <w:top w:val="single" w:sz="12" w:space="0" w:color="008000"/>
              <w:bottom w:val="single" w:sz="6" w:space="0" w:color="008000"/>
            </w:tcBorders>
            <w:shd w:val="clear" w:color="auto" w:fill="FFFFFF"/>
            <w:vAlign w:val="center"/>
          </w:tcPr>
          <w:p w14:paraId="5D907C07" w14:textId="75756A2A" w:rsidR="00FC41C7" w:rsidRPr="00B57B36" w:rsidRDefault="00FC41C7" w:rsidP="00FC41C7">
            <w:pPr>
              <w:pStyle w:val="CETBodytext"/>
              <w:ind w:right="-1"/>
              <w:jc w:val="left"/>
              <w:rPr>
                <w:rFonts w:cs="Arial"/>
                <w:szCs w:val="18"/>
                <w:lang w:val="en-GB"/>
              </w:rPr>
            </w:pPr>
            <w:r w:rsidRPr="003A1FF0">
              <w:rPr>
                <w:lang w:val="es-ES"/>
              </w:rPr>
              <w:t>pH</w:t>
            </w:r>
          </w:p>
        </w:tc>
        <w:tc>
          <w:tcPr>
            <w:tcW w:w="1720" w:type="dxa"/>
            <w:tcBorders>
              <w:top w:val="single" w:sz="12" w:space="0" w:color="008000"/>
              <w:bottom w:val="single" w:sz="6" w:space="0" w:color="008000"/>
            </w:tcBorders>
            <w:shd w:val="clear" w:color="auto" w:fill="FFFFFF"/>
            <w:vAlign w:val="center"/>
          </w:tcPr>
          <w:p w14:paraId="0AF310A8" w14:textId="2297BD35" w:rsidR="00FC41C7" w:rsidRPr="00B57B36" w:rsidRDefault="00FC41C7" w:rsidP="00FC41C7">
            <w:pPr>
              <w:pStyle w:val="CETBodytext"/>
              <w:ind w:right="-1"/>
              <w:jc w:val="left"/>
              <w:rPr>
                <w:rFonts w:cs="Arial"/>
                <w:szCs w:val="18"/>
                <w:lang w:val="en-GB"/>
              </w:rPr>
            </w:pPr>
            <w:r>
              <w:rPr>
                <w:lang w:val="es-ES"/>
              </w:rPr>
              <w:t xml:space="preserve">Corrosion </w:t>
            </w:r>
            <w:r w:rsidRPr="003A1FF0">
              <w:rPr>
                <w:lang w:val="es-ES"/>
              </w:rPr>
              <w:t>rate (mm/y)</w:t>
            </w:r>
          </w:p>
        </w:tc>
      </w:tr>
      <w:tr w:rsidR="00FC41C7" w:rsidRPr="00B57B36" w14:paraId="7EB07C23" w14:textId="77777777" w:rsidTr="00FC41C7">
        <w:trPr>
          <w:trHeight w:val="471"/>
        </w:trPr>
        <w:tc>
          <w:tcPr>
            <w:tcW w:w="1720" w:type="dxa"/>
            <w:shd w:val="clear" w:color="auto" w:fill="FFFFFF"/>
            <w:vAlign w:val="center"/>
          </w:tcPr>
          <w:p w14:paraId="13C451A6" w14:textId="61C55A1A" w:rsidR="00FC41C7" w:rsidRPr="00B57B36" w:rsidRDefault="00FC41C7" w:rsidP="00FC41C7">
            <w:pPr>
              <w:pStyle w:val="CETBodytext"/>
              <w:jc w:val="left"/>
              <w:rPr>
                <w:lang w:val="en-GB"/>
              </w:rPr>
            </w:pPr>
            <w:r>
              <w:rPr>
                <w:lang w:val="es-ES"/>
              </w:rPr>
              <w:t>MEA</w:t>
            </w:r>
          </w:p>
        </w:tc>
        <w:tc>
          <w:tcPr>
            <w:tcW w:w="1720" w:type="dxa"/>
            <w:shd w:val="clear" w:color="auto" w:fill="FFFFFF"/>
            <w:vAlign w:val="center"/>
          </w:tcPr>
          <w:p w14:paraId="6D7D196E" w14:textId="2F1AEEFC" w:rsidR="00FC41C7" w:rsidRPr="00B57B36" w:rsidRDefault="00FC41C7" w:rsidP="00444A5B">
            <w:pPr>
              <w:pStyle w:val="CETBodytext"/>
              <w:rPr>
                <w:lang w:val="en-GB"/>
              </w:rPr>
            </w:pPr>
          </w:p>
        </w:tc>
        <w:tc>
          <w:tcPr>
            <w:tcW w:w="1720" w:type="dxa"/>
            <w:shd w:val="clear" w:color="auto" w:fill="FFFFFF"/>
            <w:vAlign w:val="center"/>
          </w:tcPr>
          <w:p w14:paraId="73457FC7" w14:textId="56A443B8" w:rsidR="00FC41C7" w:rsidRPr="00B57B36" w:rsidRDefault="00FC41C7" w:rsidP="00FC41C7">
            <w:pPr>
              <w:pStyle w:val="CETBodytext"/>
              <w:jc w:val="left"/>
              <w:rPr>
                <w:lang w:val="en-GB"/>
              </w:rPr>
            </w:pPr>
            <w:r>
              <w:rPr>
                <w:lang w:val="es-ES"/>
              </w:rPr>
              <w:t>0.53</w:t>
            </w:r>
          </w:p>
        </w:tc>
        <w:tc>
          <w:tcPr>
            <w:tcW w:w="1720" w:type="dxa"/>
            <w:shd w:val="clear" w:color="auto" w:fill="FFFFFF"/>
            <w:vAlign w:val="center"/>
          </w:tcPr>
          <w:p w14:paraId="4C43E802" w14:textId="76C6D896" w:rsidR="00FC41C7" w:rsidRPr="00B57B36" w:rsidRDefault="00FC41C7" w:rsidP="00FC41C7">
            <w:pPr>
              <w:pStyle w:val="CETBodytext"/>
              <w:ind w:right="-1"/>
              <w:jc w:val="left"/>
              <w:rPr>
                <w:rFonts w:cs="Arial"/>
                <w:szCs w:val="18"/>
                <w:lang w:val="en-GB"/>
              </w:rPr>
            </w:pPr>
            <w:r>
              <w:rPr>
                <w:lang w:val="es-ES"/>
              </w:rPr>
              <w:t xml:space="preserve">8.48 </w:t>
            </w:r>
            <w:r w:rsidRPr="00221E42">
              <w:rPr>
                <w:lang w:val="es-ES"/>
              </w:rPr>
              <w:t>±</w:t>
            </w:r>
            <w:r>
              <w:rPr>
                <w:lang w:val="es-ES"/>
              </w:rPr>
              <w:t xml:space="preserve"> </w:t>
            </w:r>
            <w:r w:rsidRPr="00221E42">
              <w:rPr>
                <w:lang w:val="es-ES"/>
              </w:rPr>
              <w:t>0.03</w:t>
            </w:r>
          </w:p>
        </w:tc>
        <w:tc>
          <w:tcPr>
            <w:tcW w:w="1720" w:type="dxa"/>
            <w:shd w:val="clear" w:color="auto" w:fill="FFFFFF"/>
            <w:vAlign w:val="center"/>
          </w:tcPr>
          <w:p w14:paraId="64287229" w14:textId="456FDE2A" w:rsidR="00FC41C7" w:rsidRPr="00B57B36" w:rsidRDefault="00FC41C7" w:rsidP="00FC41C7">
            <w:pPr>
              <w:pStyle w:val="CETBodytext"/>
              <w:ind w:right="-1"/>
              <w:jc w:val="left"/>
              <w:rPr>
                <w:rFonts w:cs="Arial"/>
                <w:szCs w:val="18"/>
                <w:lang w:val="en-GB"/>
              </w:rPr>
            </w:pPr>
            <w:r>
              <w:rPr>
                <w:lang w:val="es-ES"/>
              </w:rPr>
              <w:t xml:space="preserve">4.17 </w:t>
            </w:r>
            <w:r w:rsidRPr="00221E42">
              <w:rPr>
                <w:lang w:val="es-ES"/>
              </w:rPr>
              <w:t>±</w:t>
            </w:r>
            <w:r>
              <w:rPr>
                <w:lang w:val="es-ES"/>
              </w:rPr>
              <w:t xml:space="preserve"> 0.02</w:t>
            </w:r>
          </w:p>
        </w:tc>
      </w:tr>
      <w:tr w:rsidR="00FC41C7" w:rsidRPr="00B57B36" w14:paraId="267141FB" w14:textId="77777777" w:rsidTr="00FC41C7">
        <w:trPr>
          <w:trHeight w:val="200"/>
        </w:trPr>
        <w:tc>
          <w:tcPr>
            <w:tcW w:w="1720" w:type="dxa"/>
            <w:shd w:val="clear" w:color="auto" w:fill="FFFFFF"/>
            <w:vAlign w:val="center"/>
          </w:tcPr>
          <w:p w14:paraId="5F0398E6" w14:textId="77777777" w:rsidR="00444A5B" w:rsidRDefault="00444A5B" w:rsidP="00FC41C7">
            <w:pPr>
              <w:pStyle w:val="CETBodytext"/>
              <w:ind w:right="-1"/>
              <w:jc w:val="left"/>
              <w:rPr>
                <w:lang w:val="es-ES"/>
              </w:rPr>
            </w:pPr>
          </w:p>
          <w:p w14:paraId="53974479" w14:textId="0DDC7F12" w:rsidR="00FC41C7" w:rsidRPr="00B57B36" w:rsidRDefault="00FC41C7" w:rsidP="00FC41C7">
            <w:pPr>
              <w:pStyle w:val="CETBodytext"/>
              <w:ind w:right="-1"/>
              <w:jc w:val="left"/>
              <w:rPr>
                <w:rFonts w:cs="Arial"/>
                <w:szCs w:val="18"/>
                <w:lang w:val="en-GB"/>
              </w:rPr>
            </w:pPr>
            <w:r>
              <w:rPr>
                <w:lang w:val="es-ES"/>
              </w:rPr>
              <w:t>DEA</w:t>
            </w:r>
          </w:p>
        </w:tc>
        <w:tc>
          <w:tcPr>
            <w:tcW w:w="1720" w:type="dxa"/>
            <w:shd w:val="clear" w:color="auto" w:fill="FFFFFF"/>
            <w:vAlign w:val="center"/>
          </w:tcPr>
          <w:p w14:paraId="6D2AB63D" w14:textId="7BE4705A" w:rsidR="00FC41C7" w:rsidRPr="00B57B36" w:rsidRDefault="00FC41C7" w:rsidP="00444A5B">
            <w:pPr>
              <w:pStyle w:val="CETBodytext"/>
              <w:ind w:right="-1"/>
              <w:jc w:val="left"/>
              <w:rPr>
                <w:rFonts w:cs="Arial"/>
                <w:szCs w:val="18"/>
                <w:lang w:val="en-GB"/>
              </w:rPr>
            </w:pPr>
          </w:p>
        </w:tc>
        <w:tc>
          <w:tcPr>
            <w:tcW w:w="1720" w:type="dxa"/>
            <w:shd w:val="clear" w:color="auto" w:fill="FFFFFF"/>
            <w:vAlign w:val="center"/>
          </w:tcPr>
          <w:p w14:paraId="5B5213A0" w14:textId="77777777" w:rsidR="00444A5B" w:rsidRDefault="00444A5B" w:rsidP="00FC41C7">
            <w:pPr>
              <w:pStyle w:val="CETBodytext"/>
              <w:ind w:right="-1"/>
              <w:jc w:val="left"/>
              <w:rPr>
                <w:lang w:val="es-ES"/>
              </w:rPr>
            </w:pPr>
          </w:p>
          <w:p w14:paraId="76319D14" w14:textId="14439365" w:rsidR="00FC41C7" w:rsidRDefault="00FC41C7" w:rsidP="00FC41C7">
            <w:pPr>
              <w:pStyle w:val="CETBodytext"/>
              <w:ind w:right="-1"/>
              <w:jc w:val="left"/>
              <w:rPr>
                <w:lang w:val="es-ES"/>
              </w:rPr>
            </w:pPr>
            <w:r>
              <w:rPr>
                <w:lang w:val="es-ES"/>
              </w:rPr>
              <w:t>0.40</w:t>
            </w:r>
          </w:p>
          <w:p w14:paraId="1A9E2BA9" w14:textId="0B7DDA6F" w:rsidR="00444A5B" w:rsidRPr="00B57B36" w:rsidRDefault="00444A5B" w:rsidP="00FC41C7">
            <w:pPr>
              <w:pStyle w:val="CETBodytext"/>
              <w:ind w:right="-1"/>
              <w:jc w:val="left"/>
              <w:rPr>
                <w:rFonts w:cs="Arial"/>
                <w:szCs w:val="18"/>
                <w:lang w:val="en-GB"/>
              </w:rPr>
            </w:pPr>
          </w:p>
        </w:tc>
        <w:tc>
          <w:tcPr>
            <w:tcW w:w="1720" w:type="dxa"/>
            <w:shd w:val="clear" w:color="auto" w:fill="FFFFFF"/>
            <w:vAlign w:val="center"/>
          </w:tcPr>
          <w:p w14:paraId="40FDC2A5" w14:textId="6E469B68" w:rsidR="00FC41C7" w:rsidRPr="00B57B36" w:rsidRDefault="00FC41C7" w:rsidP="00FC41C7">
            <w:pPr>
              <w:pStyle w:val="CETBodytext"/>
              <w:ind w:right="-1"/>
              <w:jc w:val="left"/>
              <w:rPr>
                <w:rFonts w:cs="Arial"/>
                <w:szCs w:val="18"/>
                <w:lang w:val="en-GB"/>
              </w:rPr>
            </w:pPr>
            <w:r>
              <w:rPr>
                <w:lang w:val="es-ES"/>
              </w:rPr>
              <w:t>8.41</w:t>
            </w:r>
            <w:r w:rsidRPr="00C116C7">
              <w:rPr>
                <w:lang w:val="es-ES"/>
              </w:rPr>
              <w:t xml:space="preserve"> ± </w:t>
            </w:r>
            <w:r>
              <w:rPr>
                <w:lang w:val="es-ES"/>
              </w:rPr>
              <w:t>0.04</w:t>
            </w:r>
          </w:p>
        </w:tc>
        <w:tc>
          <w:tcPr>
            <w:tcW w:w="1720" w:type="dxa"/>
            <w:shd w:val="clear" w:color="auto" w:fill="FFFFFF"/>
            <w:vAlign w:val="center"/>
          </w:tcPr>
          <w:p w14:paraId="6220FC05" w14:textId="25C4DD1E" w:rsidR="00FC41C7" w:rsidRPr="00B57B36" w:rsidRDefault="00FC41C7" w:rsidP="00FC41C7">
            <w:pPr>
              <w:pStyle w:val="CETBodytext"/>
              <w:ind w:right="-1"/>
              <w:jc w:val="left"/>
              <w:rPr>
                <w:rFonts w:cs="Arial"/>
                <w:szCs w:val="18"/>
                <w:lang w:val="en-GB"/>
              </w:rPr>
            </w:pPr>
            <w:r>
              <w:rPr>
                <w:lang w:val="es-ES"/>
              </w:rPr>
              <w:t>2.37</w:t>
            </w:r>
            <w:r w:rsidRPr="00C116C7">
              <w:rPr>
                <w:lang w:val="es-ES"/>
              </w:rPr>
              <w:t xml:space="preserve"> ± </w:t>
            </w:r>
            <w:r>
              <w:rPr>
                <w:lang w:val="es-ES"/>
              </w:rPr>
              <w:t>0.03</w:t>
            </w:r>
          </w:p>
        </w:tc>
      </w:tr>
      <w:tr w:rsidR="00FC41C7" w:rsidRPr="00B57B36" w14:paraId="1A5CF779" w14:textId="77777777" w:rsidTr="00FC41C7">
        <w:trPr>
          <w:trHeight w:val="192"/>
        </w:trPr>
        <w:tc>
          <w:tcPr>
            <w:tcW w:w="1720" w:type="dxa"/>
            <w:shd w:val="clear" w:color="auto" w:fill="FFFFFF"/>
            <w:vAlign w:val="center"/>
          </w:tcPr>
          <w:p w14:paraId="324FDA73" w14:textId="7B8EACFA" w:rsidR="00FC41C7" w:rsidRDefault="00FC41C7" w:rsidP="00FC41C7">
            <w:pPr>
              <w:pStyle w:val="CETBodytext"/>
              <w:ind w:right="-1"/>
              <w:jc w:val="left"/>
              <w:rPr>
                <w:lang w:val="es-ES"/>
              </w:rPr>
            </w:pPr>
            <w:r>
              <w:rPr>
                <w:lang w:val="es-ES"/>
              </w:rPr>
              <w:t>MDEA</w:t>
            </w:r>
          </w:p>
        </w:tc>
        <w:tc>
          <w:tcPr>
            <w:tcW w:w="1720" w:type="dxa"/>
            <w:shd w:val="clear" w:color="auto" w:fill="FFFFFF"/>
            <w:vAlign w:val="center"/>
          </w:tcPr>
          <w:p w14:paraId="05B72C3A" w14:textId="77777777" w:rsidR="00444A5B" w:rsidRDefault="00444A5B" w:rsidP="00444A5B">
            <w:pPr>
              <w:pStyle w:val="CETBodytext"/>
              <w:spacing w:line="360" w:lineRule="auto"/>
              <w:jc w:val="left"/>
              <w:rPr>
                <w:vertAlign w:val="superscript"/>
                <w:lang w:val="es-ES"/>
              </w:rPr>
            </w:pPr>
            <w:r>
              <w:rPr>
                <w:lang w:val="es-ES"/>
              </w:rPr>
              <w:t>5.0 kmol amine solution/m</w:t>
            </w:r>
            <w:r w:rsidRPr="00030CEF">
              <w:rPr>
                <w:vertAlign w:val="superscript"/>
                <w:lang w:val="es-ES"/>
              </w:rPr>
              <w:t>3</w:t>
            </w:r>
          </w:p>
          <w:p w14:paraId="3C7C4D76" w14:textId="5F28668A" w:rsidR="00FC41C7" w:rsidRPr="00B57B36" w:rsidRDefault="00444A5B" w:rsidP="00444A5B">
            <w:pPr>
              <w:pStyle w:val="CETBodytext"/>
              <w:ind w:right="-1"/>
              <w:jc w:val="left"/>
              <w:rPr>
                <w:rFonts w:cs="Arial"/>
                <w:szCs w:val="18"/>
                <w:lang w:val="en-GB"/>
              </w:rPr>
            </w:pPr>
            <w:r w:rsidRPr="00030CEF">
              <w:rPr>
                <w:lang w:val="es-ES"/>
              </w:rPr>
              <w:t>80 °C</w:t>
            </w:r>
          </w:p>
        </w:tc>
        <w:tc>
          <w:tcPr>
            <w:tcW w:w="1720" w:type="dxa"/>
            <w:shd w:val="clear" w:color="auto" w:fill="FFFFFF"/>
            <w:vAlign w:val="center"/>
          </w:tcPr>
          <w:p w14:paraId="07B47FFD" w14:textId="5580BCF6" w:rsidR="00FC41C7" w:rsidRDefault="00444A5B" w:rsidP="00FC41C7">
            <w:pPr>
              <w:pStyle w:val="CETBodytext"/>
              <w:ind w:right="-1"/>
              <w:jc w:val="left"/>
              <w:rPr>
                <w:lang w:val="es-ES"/>
              </w:rPr>
            </w:pPr>
            <w:r>
              <w:rPr>
                <w:lang w:val="es-ES"/>
              </w:rPr>
              <w:t>0.14</w:t>
            </w:r>
          </w:p>
        </w:tc>
        <w:tc>
          <w:tcPr>
            <w:tcW w:w="1720" w:type="dxa"/>
            <w:shd w:val="clear" w:color="auto" w:fill="FFFFFF"/>
            <w:vAlign w:val="center"/>
          </w:tcPr>
          <w:p w14:paraId="329EB167" w14:textId="26027F72" w:rsidR="00FC41C7" w:rsidRDefault="00FC41C7" w:rsidP="00FC41C7">
            <w:pPr>
              <w:pStyle w:val="CETBodytext"/>
              <w:ind w:right="-1"/>
              <w:jc w:val="left"/>
              <w:rPr>
                <w:lang w:val="es-ES"/>
              </w:rPr>
            </w:pPr>
            <w:r>
              <w:rPr>
                <w:lang w:val="es-ES"/>
              </w:rPr>
              <w:t>8.85</w:t>
            </w:r>
            <w:r w:rsidRPr="00C116C7">
              <w:rPr>
                <w:lang w:val="es-ES"/>
              </w:rPr>
              <w:t xml:space="preserve"> ± </w:t>
            </w:r>
            <w:r>
              <w:rPr>
                <w:lang w:val="es-ES"/>
              </w:rPr>
              <w:t>0.07</w:t>
            </w:r>
          </w:p>
        </w:tc>
        <w:tc>
          <w:tcPr>
            <w:tcW w:w="1720" w:type="dxa"/>
            <w:shd w:val="clear" w:color="auto" w:fill="FFFFFF"/>
            <w:vAlign w:val="center"/>
          </w:tcPr>
          <w:p w14:paraId="0D088181" w14:textId="48E002E4" w:rsidR="00FC41C7" w:rsidRDefault="00FC41C7" w:rsidP="00FC41C7">
            <w:pPr>
              <w:pStyle w:val="CETBodytext"/>
              <w:ind w:right="-1"/>
              <w:jc w:val="left"/>
              <w:rPr>
                <w:lang w:val="es-ES"/>
              </w:rPr>
            </w:pPr>
            <w:r>
              <w:rPr>
                <w:lang w:val="es-ES"/>
              </w:rPr>
              <w:t>0.89</w:t>
            </w:r>
            <w:r w:rsidRPr="00C116C7">
              <w:rPr>
                <w:lang w:val="es-ES"/>
              </w:rPr>
              <w:t xml:space="preserve"> ± </w:t>
            </w:r>
            <w:r>
              <w:rPr>
                <w:lang w:val="es-ES"/>
              </w:rPr>
              <w:t>0.07</w:t>
            </w:r>
          </w:p>
        </w:tc>
      </w:tr>
      <w:tr w:rsidR="00FC41C7" w:rsidRPr="00B57B36" w14:paraId="2A44DE5B" w14:textId="77777777" w:rsidTr="00FC41C7">
        <w:trPr>
          <w:trHeight w:val="200"/>
        </w:trPr>
        <w:tc>
          <w:tcPr>
            <w:tcW w:w="1720" w:type="dxa"/>
            <w:shd w:val="clear" w:color="auto" w:fill="FFFFFF"/>
            <w:vAlign w:val="center"/>
          </w:tcPr>
          <w:p w14:paraId="10B0C102" w14:textId="2F130A79" w:rsidR="00FC41C7" w:rsidRDefault="00FC41C7" w:rsidP="00FC41C7">
            <w:pPr>
              <w:pStyle w:val="CETBodytext"/>
              <w:ind w:right="-1"/>
              <w:jc w:val="left"/>
              <w:rPr>
                <w:lang w:val="es-ES"/>
              </w:rPr>
            </w:pPr>
            <w:r>
              <w:rPr>
                <w:lang w:val="es-ES"/>
              </w:rPr>
              <w:t>AMP</w:t>
            </w:r>
          </w:p>
        </w:tc>
        <w:tc>
          <w:tcPr>
            <w:tcW w:w="1720" w:type="dxa"/>
            <w:shd w:val="clear" w:color="auto" w:fill="FFFFFF"/>
            <w:vAlign w:val="center"/>
          </w:tcPr>
          <w:p w14:paraId="67E9225F" w14:textId="77777777" w:rsidR="00FC41C7" w:rsidRPr="00B57B36" w:rsidRDefault="00FC41C7" w:rsidP="00FC41C7">
            <w:pPr>
              <w:pStyle w:val="CETBodytext"/>
              <w:ind w:right="-1"/>
              <w:jc w:val="left"/>
              <w:rPr>
                <w:rFonts w:cs="Arial"/>
                <w:szCs w:val="18"/>
                <w:lang w:val="en-GB"/>
              </w:rPr>
            </w:pPr>
          </w:p>
        </w:tc>
        <w:tc>
          <w:tcPr>
            <w:tcW w:w="1720" w:type="dxa"/>
            <w:shd w:val="clear" w:color="auto" w:fill="FFFFFF"/>
            <w:vAlign w:val="center"/>
          </w:tcPr>
          <w:p w14:paraId="75D87CA3" w14:textId="08858D64" w:rsidR="00FC41C7" w:rsidRDefault="00FC41C7" w:rsidP="00FC41C7">
            <w:pPr>
              <w:pStyle w:val="CETBodytext"/>
              <w:ind w:right="-1"/>
              <w:jc w:val="left"/>
              <w:rPr>
                <w:lang w:val="es-ES"/>
              </w:rPr>
            </w:pPr>
            <w:r>
              <w:rPr>
                <w:lang w:val="es-ES"/>
              </w:rPr>
              <w:t>0.51</w:t>
            </w:r>
          </w:p>
        </w:tc>
        <w:tc>
          <w:tcPr>
            <w:tcW w:w="1720" w:type="dxa"/>
            <w:shd w:val="clear" w:color="auto" w:fill="FFFFFF"/>
            <w:vAlign w:val="center"/>
          </w:tcPr>
          <w:p w14:paraId="0D326929" w14:textId="1ECA22CA" w:rsidR="00FC41C7" w:rsidRPr="00444A5B" w:rsidRDefault="00444A5B" w:rsidP="00FC41C7">
            <w:pPr>
              <w:pStyle w:val="CETBodytext"/>
              <w:ind w:right="-1"/>
              <w:jc w:val="left"/>
            </w:pPr>
            <w:r w:rsidRPr="00444A5B">
              <w:t>8.</w:t>
            </w:r>
            <w:r>
              <w:t>95</w:t>
            </w:r>
            <w:r w:rsidR="00FC41C7" w:rsidRPr="00444A5B">
              <w:t xml:space="preserve"> ± </w:t>
            </w:r>
            <w:r>
              <w:t>0.13</w:t>
            </w:r>
          </w:p>
        </w:tc>
        <w:tc>
          <w:tcPr>
            <w:tcW w:w="1720" w:type="dxa"/>
            <w:shd w:val="clear" w:color="auto" w:fill="FFFFFF"/>
            <w:vAlign w:val="center"/>
          </w:tcPr>
          <w:p w14:paraId="61F90BC1" w14:textId="470985F1" w:rsidR="00FC41C7" w:rsidRPr="00444A5B" w:rsidRDefault="00444A5B" w:rsidP="00FC41C7">
            <w:pPr>
              <w:pStyle w:val="CETBodytext"/>
              <w:ind w:right="-1"/>
              <w:jc w:val="left"/>
            </w:pPr>
            <w:r>
              <w:t>3.11</w:t>
            </w:r>
            <w:r w:rsidR="00FC41C7" w:rsidRPr="00444A5B">
              <w:t xml:space="preserve"> ± </w:t>
            </w:r>
            <w:r>
              <w:t>0.08</w:t>
            </w:r>
          </w:p>
        </w:tc>
      </w:tr>
      <w:tr w:rsidR="00FC41C7" w:rsidRPr="00B57B36" w14:paraId="03C0E46D" w14:textId="77777777" w:rsidTr="00FC41C7">
        <w:trPr>
          <w:trHeight w:val="200"/>
        </w:trPr>
        <w:tc>
          <w:tcPr>
            <w:tcW w:w="1720" w:type="dxa"/>
            <w:shd w:val="clear" w:color="auto" w:fill="FFFFFF"/>
            <w:vAlign w:val="center"/>
          </w:tcPr>
          <w:p w14:paraId="1644CE0D" w14:textId="77777777" w:rsidR="00444A5B" w:rsidRDefault="00444A5B" w:rsidP="00FC41C7">
            <w:pPr>
              <w:pStyle w:val="CETBodytext"/>
              <w:ind w:right="-1"/>
              <w:jc w:val="left"/>
            </w:pPr>
          </w:p>
          <w:p w14:paraId="18E6C284" w14:textId="77777777" w:rsidR="00444A5B" w:rsidRDefault="00444A5B" w:rsidP="00FC41C7">
            <w:pPr>
              <w:pStyle w:val="CETBodytext"/>
              <w:ind w:right="-1"/>
              <w:jc w:val="left"/>
            </w:pPr>
          </w:p>
          <w:p w14:paraId="2DF3D5C2" w14:textId="68A18E8E" w:rsidR="00FC41C7" w:rsidRPr="00444A5B" w:rsidRDefault="00FC41C7" w:rsidP="00FC41C7">
            <w:pPr>
              <w:pStyle w:val="CETBodytext"/>
              <w:ind w:right="-1"/>
              <w:jc w:val="left"/>
            </w:pPr>
            <w:r w:rsidRPr="00444A5B">
              <w:t>PZ</w:t>
            </w:r>
          </w:p>
        </w:tc>
        <w:tc>
          <w:tcPr>
            <w:tcW w:w="1720" w:type="dxa"/>
            <w:shd w:val="clear" w:color="auto" w:fill="FFFFFF"/>
            <w:vAlign w:val="center"/>
          </w:tcPr>
          <w:p w14:paraId="7E5C4F43" w14:textId="77777777" w:rsidR="00FC41C7" w:rsidRPr="00B57B36" w:rsidRDefault="00FC41C7" w:rsidP="00FC41C7">
            <w:pPr>
              <w:pStyle w:val="CETBodytext"/>
              <w:ind w:right="-1"/>
              <w:jc w:val="left"/>
              <w:rPr>
                <w:rFonts w:cs="Arial"/>
                <w:szCs w:val="18"/>
                <w:lang w:val="en-GB"/>
              </w:rPr>
            </w:pPr>
          </w:p>
        </w:tc>
        <w:tc>
          <w:tcPr>
            <w:tcW w:w="1720" w:type="dxa"/>
            <w:shd w:val="clear" w:color="auto" w:fill="FFFFFF"/>
            <w:vAlign w:val="center"/>
          </w:tcPr>
          <w:p w14:paraId="3659AABC" w14:textId="38D8E92C" w:rsidR="00FC41C7" w:rsidRPr="00444A5B" w:rsidRDefault="00FC41C7" w:rsidP="00FC41C7">
            <w:pPr>
              <w:pStyle w:val="CETBodytext"/>
              <w:ind w:right="-1"/>
              <w:jc w:val="left"/>
            </w:pPr>
            <w:r w:rsidRPr="00444A5B">
              <w:t>0.82</w:t>
            </w:r>
          </w:p>
        </w:tc>
        <w:tc>
          <w:tcPr>
            <w:tcW w:w="1720" w:type="dxa"/>
            <w:shd w:val="clear" w:color="auto" w:fill="FFFFFF"/>
            <w:vAlign w:val="center"/>
          </w:tcPr>
          <w:p w14:paraId="28F7CFA1" w14:textId="368EBFFF" w:rsidR="00FC41C7" w:rsidRPr="00444A5B" w:rsidRDefault="00444A5B" w:rsidP="00FC41C7">
            <w:pPr>
              <w:pStyle w:val="CETBodytext"/>
              <w:ind w:right="-1"/>
              <w:jc w:val="left"/>
            </w:pPr>
            <w:r w:rsidRPr="00444A5B">
              <w:t>8.</w:t>
            </w:r>
            <w:r>
              <w:t>46</w:t>
            </w:r>
            <w:r w:rsidR="00FC41C7" w:rsidRPr="00444A5B">
              <w:t xml:space="preserve"> ± </w:t>
            </w:r>
            <w:r>
              <w:t>0.03</w:t>
            </w:r>
          </w:p>
        </w:tc>
        <w:tc>
          <w:tcPr>
            <w:tcW w:w="1720" w:type="dxa"/>
            <w:shd w:val="clear" w:color="auto" w:fill="FFFFFF"/>
            <w:vAlign w:val="center"/>
          </w:tcPr>
          <w:p w14:paraId="45E52B74" w14:textId="568E2CCA" w:rsidR="00FC41C7" w:rsidRPr="00444A5B" w:rsidRDefault="00444A5B" w:rsidP="00FC41C7">
            <w:pPr>
              <w:pStyle w:val="CETBodytext"/>
              <w:ind w:right="-1"/>
              <w:jc w:val="left"/>
            </w:pPr>
            <w:r>
              <w:t>1.64</w:t>
            </w:r>
            <w:r w:rsidR="00FC41C7" w:rsidRPr="00444A5B">
              <w:t xml:space="preserve"> ± </w:t>
            </w:r>
            <w:r>
              <w:t>0.02</w:t>
            </w:r>
          </w:p>
        </w:tc>
      </w:tr>
    </w:tbl>
    <w:p w14:paraId="412B55FB" w14:textId="2B399C77" w:rsidR="00544EE8" w:rsidRPr="00444A5B" w:rsidRDefault="00544EE8" w:rsidP="00495B8A">
      <w:pPr>
        <w:pStyle w:val="CETBodytext"/>
      </w:pPr>
    </w:p>
    <w:p w14:paraId="3E03F6A8" w14:textId="1B2DA335" w:rsidR="00CC53D2" w:rsidRPr="00E63978" w:rsidRDefault="00E63978" w:rsidP="00495B8A">
      <w:pPr>
        <w:pStyle w:val="CETBodytext"/>
      </w:pPr>
      <w:r w:rsidRPr="00E63978">
        <w:t xml:space="preserve">In a study considering an exposure time of 4 years, </w:t>
      </w:r>
      <w:r w:rsidR="00BD15CB">
        <w:t xml:space="preserve">researchers </w:t>
      </w:r>
      <w:r w:rsidR="00BD15CB" w:rsidRPr="00BD15CB">
        <w:t xml:space="preserve">evaluated the corrosion generated on AISI 1018 carbon steel </w:t>
      </w:r>
      <w:r w:rsidR="00BD15CB">
        <w:t>using an MEA amine solution</w:t>
      </w:r>
      <w:r w:rsidR="00BD15CB" w:rsidRPr="00BD15CB">
        <w:t xml:space="preserve"> for CO</w:t>
      </w:r>
      <w:r w:rsidR="00BD15CB" w:rsidRPr="00BD15CB">
        <w:rPr>
          <w:vertAlign w:val="subscript"/>
        </w:rPr>
        <w:t>2</w:t>
      </w:r>
      <w:r w:rsidR="00BD15CB" w:rsidRPr="00BD15CB">
        <w:t xml:space="preserve"> capture </w:t>
      </w:r>
      <w:r w:rsidR="00BD15CB">
        <w:t>under</w:t>
      </w:r>
      <w:r w:rsidR="00BD15CB" w:rsidRPr="00BD15CB">
        <w:t xml:space="preserve"> pilot conditions</w:t>
      </w:r>
      <w:r w:rsidRPr="00E63978">
        <w:t>. High corrosion rates (4.5 mm/y</w:t>
      </w:r>
      <w:r w:rsidR="00BD15CB">
        <w:t xml:space="preserve"> </w:t>
      </w:r>
      <w:r w:rsidRPr="00E63978">
        <w:t>–</w:t>
      </w:r>
      <w:r w:rsidR="00BD15CB">
        <w:t xml:space="preserve"> </w:t>
      </w:r>
      <w:r w:rsidRPr="00E63978">
        <w:t>8.5 mm/y) were determined, causing a loss of almost 80</w:t>
      </w:r>
      <w:r w:rsidR="0092563D">
        <w:t xml:space="preserve"> </w:t>
      </w:r>
      <w:r w:rsidR="00B763F1">
        <w:t>% of its initial weight (Oo</w:t>
      </w:r>
      <w:r w:rsidRPr="00E63978">
        <w:t>i et al., 2020).</w:t>
      </w:r>
    </w:p>
    <w:p w14:paraId="20574233" w14:textId="0492D29E" w:rsidR="00E63978" w:rsidRDefault="00E63978" w:rsidP="00495B8A">
      <w:pPr>
        <w:pStyle w:val="CETBodytext"/>
      </w:pPr>
      <w:r w:rsidRPr="00E63978">
        <w:t xml:space="preserve">On the other hand, it has been reported that the corrosivity of carbon steel increases with the increase in </w:t>
      </w:r>
      <w:r w:rsidR="00BD15CB">
        <w:t xml:space="preserve">the concentration of the amine, </w:t>
      </w:r>
      <w:r w:rsidRPr="00E63978">
        <w:t>taking the MEA amine as a case study, it has been shown that concentrations greater than 30</w:t>
      </w:r>
      <w:r w:rsidR="0092563D">
        <w:t xml:space="preserve"> </w:t>
      </w:r>
      <w:r w:rsidRPr="00E63978">
        <w:t>% present high risks of c</w:t>
      </w:r>
      <w:r w:rsidR="00B763F1">
        <w:t>orrosion in industrial plants (Oo</w:t>
      </w:r>
      <w:r w:rsidRPr="00E63978">
        <w:t>i et al., 2020).</w:t>
      </w:r>
    </w:p>
    <w:p w14:paraId="69AE1D16" w14:textId="04021108" w:rsidR="00576E30" w:rsidRPr="00E63978" w:rsidRDefault="00E63978" w:rsidP="008A08B2">
      <w:pPr>
        <w:pStyle w:val="CETBodytext"/>
      </w:pPr>
      <w:r w:rsidRPr="00E63978">
        <w:t xml:space="preserve">The relationship between the amine structure and corrosion rates was studied in a carbon steel (CS) 1018 </w:t>
      </w:r>
      <w:r w:rsidR="00BD15CB">
        <w:t>by evaluating</w:t>
      </w:r>
      <w:r w:rsidRPr="00E63978">
        <w:t xml:space="preserve"> Tafel curves. It was determined that the corrosion rate decreases with the increasing number of substituents on the amino groups and a structural change from linear to cyclic amines, </w:t>
      </w:r>
      <w:r w:rsidR="00BD15CB">
        <w:t>which</w:t>
      </w:r>
      <w:r w:rsidRPr="00E63978">
        <w:t xml:space="preserve"> can increase the absorption capacity. </w:t>
      </w:r>
      <w:r w:rsidR="00BD15CB">
        <w:t xml:space="preserve">The corrosion rate generally decreases when the amine structure changes from linear to cyclic (Li et al., 2020). </w:t>
      </w:r>
      <w:r w:rsidR="00B477F9">
        <w:t>When this occurs, a dense FeCO</w:t>
      </w:r>
      <w:r w:rsidR="00B477F9" w:rsidRPr="00444A5B">
        <w:rPr>
          <w:vertAlign w:val="subscript"/>
        </w:rPr>
        <w:t>3</w:t>
      </w:r>
      <w:r w:rsidR="00B477F9">
        <w:t xml:space="preserve"> protective film is produced on the steel surface. The research results suggest that the formation of a protective film of the species depends on the carbonate/carbamate ratio</w:t>
      </w:r>
      <w:r w:rsidRPr="00E63978">
        <w:t>.</w:t>
      </w:r>
    </w:p>
    <w:p w14:paraId="59A2352D" w14:textId="5E05D7E6" w:rsidR="00E63978" w:rsidRPr="008A08B2" w:rsidRDefault="009848C5" w:rsidP="008A08B2">
      <w:pPr>
        <w:pStyle w:val="CETHeading1"/>
      </w:pPr>
      <w:r w:rsidRPr="004066F7">
        <w:lastRenderedPageBreak/>
        <w:t xml:space="preserve">4. </w:t>
      </w:r>
      <w:r w:rsidR="00E63978" w:rsidRPr="004066F7">
        <w:t>Effects of temperature and pressure</w:t>
      </w:r>
    </w:p>
    <w:p w14:paraId="2E19D219" w14:textId="62161B7F" w:rsidR="00E63978" w:rsidRDefault="00E63978" w:rsidP="00495B8A">
      <w:pPr>
        <w:pStyle w:val="CETBodytext"/>
      </w:pPr>
      <w:r w:rsidRPr="00E63978">
        <w:t>Experimental evaluation and mode</w:t>
      </w:r>
      <w:r w:rsidR="00BD15CB">
        <w:t>l</w:t>
      </w:r>
      <w:r w:rsidRPr="00E63978">
        <w:t>ling of CO</w:t>
      </w:r>
      <w:r w:rsidRPr="0092563D">
        <w:rPr>
          <w:vertAlign w:val="subscript"/>
        </w:rPr>
        <w:t>2</w:t>
      </w:r>
      <w:r w:rsidRPr="00E63978">
        <w:t xml:space="preserve"> absorption were carried out in a high</w:t>
      </w:r>
      <w:r w:rsidR="00977450">
        <w:t>-</w:t>
      </w:r>
      <w:r w:rsidRPr="00E63978">
        <w:t>pressure column (4 MPa) using an MDEA solution, which had as one of its main objectives to measure the absorption capacity of this amine under temperature</w:t>
      </w:r>
      <w:r w:rsidR="00BD15CB">
        <w:t>s</w:t>
      </w:r>
      <w:r w:rsidRPr="00E63978">
        <w:t xml:space="preserve"> between 30</w:t>
      </w:r>
      <w:r w:rsidR="0092563D">
        <w:t xml:space="preserve"> </w:t>
      </w:r>
      <w:r w:rsidRPr="00E63978">
        <w:t>-</w:t>
      </w:r>
      <w:r w:rsidR="0092563D">
        <w:t xml:space="preserve"> </w:t>
      </w:r>
      <w:r w:rsidRPr="00E63978">
        <w:t>70 °C. When the temperature reached 60 °C, the m</w:t>
      </w:r>
      <w:r w:rsidR="00F13DD3">
        <w:t xml:space="preserve">aximum capture efficiency (98.2 </w:t>
      </w:r>
      <w:r w:rsidRPr="00E63978">
        <w:t xml:space="preserve">%) was </w:t>
      </w:r>
      <w:r w:rsidR="00BD15CB">
        <w:t>achiev</w:t>
      </w:r>
      <w:r w:rsidRPr="00E63978">
        <w:t>ed under a pressure of 4 MPa. However, it can be seen that at temperatures greater than 50 °C, the CO</w:t>
      </w:r>
      <w:r w:rsidRPr="0092563D">
        <w:rPr>
          <w:vertAlign w:val="subscript"/>
        </w:rPr>
        <w:t>2</w:t>
      </w:r>
      <w:r w:rsidRPr="00E63978">
        <w:t xml:space="preserve"> absorption capacity of the amine did not increase markedly, so it was concluded that working at higher temperatures did not generate a significant benefit in the process</w:t>
      </w:r>
      <w:r w:rsidR="00BD15CB">
        <w:t>. Still,</w:t>
      </w:r>
      <w:r w:rsidRPr="00E63978">
        <w:t xml:space="preserve"> it did generate an increase in the costs of the same CO</w:t>
      </w:r>
      <w:r w:rsidRPr="0092563D">
        <w:rPr>
          <w:vertAlign w:val="subscript"/>
        </w:rPr>
        <w:t>2</w:t>
      </w:r>
      <w:r w:rsidRPr="00E63978">
        <w:t xml:space="preserve"> (Shahid et al., 2021).</w:t>
      </w:r>
    </w:p>
    <w:p w14:paraId="229464A1" w14:textId="31521256" w:rsidR="00E63978" w:rsidRDefault="00E63978" w:rsidP="00B7025D">
      <w:pPr>
        <w:pStyle w:val="CETBodytext"/>
      </w:pPr>
      <w:r w:rsidRPr="00E63978">
        <w:t>In a research carried out, the effect of the temperature of the solution on the efficiency of CO</w:t>
      </w:r>
      <w:r w:rsidRPr="0092563D">
        <w:rPr>
          <w:vertAlign w:val="subscript"/>
        </w:rPr>
        <w:t>2</w:t>
      </w:r>
      <w:r w:rsidRPr="00E63978">
        <w:t xml:space="preserve"> capture was determined, the study solution was a poor solution of MEA. A proportional relationship between temperature and absorption efficiency was </w:t>
      </w:r>
      <w:r w:rsidR="00BD15CB">
        <w:t>significantly observed when the temperature</w:t>
      </w:r>
      <w:r w:rsidRPr="00E63978">
        <w:t xml:space="preserve"> increased from 25 °C to 50 °C. According to the authors, at temperatures above 50 °C, there was no significant impact on capture efficiency (Joel et al</w:t>
      </w:r>
      <w:r w:rsidR="00BD15CB">
        <w:t>.</w:t>
      </w:r>
      <w:r w:rsidRPr="00E63978">
        <w:t>, 2014).</w:t>
      </w:r>
    </w:p>
    <w:p w14:paraId="6513BB43" w14:textId="68F100BC" w:rsidR="00E63978" w:rsidRPr="00E63978" w:rsidRDefault="00944686" w:rsidP="00E63978">
      <w:pPr>
        <w:pStyle w:val="CETBodytext"/>
      </w:pPr>
      <w:r w:rsidRPr="00E63978">
        <w:tab/>
      </w:r>
      <w:r w:rsidR="00E63978" w:rsidRPr="00E63978">
        <w:t>According to research, the absorption capacity can be improved by increasing the gas pressure. Tan et al. (2015) reported that the CO</w:t>
      </w:r>
      <w:r w:rsidR="00E63978" w:rsidRPr="0092563D">
        <w:rPr>
          <w:vertAlign w:val="subscript"/>
        </w:rPr>
        <w:t>2</w:t>
      </w:r>
      <w:r w:rsidR="00E63978" w:rsidRPr="00E63978">
        <w:t xml:space="preserve"> absorption performance increases gradually with increasing pressure in an aqueous solution of MEA. Their results showed that removal of approximately 76</w:t>
      </w:r>
      <w:r w:rsidR="0092563D">
        <w:t xml:space="preserve"> </w:t>
      </w:r>
      <w:r w:rsidR="00E63978" w:rsidRPr="00E63978">
        <w:t>% of CO</w:t>
      </w:r>
      <w:r w:rsidR="00E63978" w:rsidRPr="0092563D">
        <w:rPr>
          <w:vertAlign w:val="subscript"/>
        </w:rPr>
        <w:t>2</w:t>
      </w:r>
      <w:r w:rsidR="00E63978" w:rsidRPr="00E63978">
        <w:t xml:space="preserve"> is achieved when the pressure is 0.1 MPa and increases to 95</w:t>
      </w:r>
      <w:r w:rsidR="0092563D">
        <w:t xml:space="preserve"> </w:t>
      </w:r>
      <w:r w:rsidR="00E63978" w:rsidRPr="00E63978">
        <w:t xml:space="preserve">% when </w:t>
      </w:r>
      <w:r w:rsidR="00BD15CB">
        <w:t>it</w:t>
      </w:r>
      <w:r w:rsidR="00E63978" w:rsidRPr="00E63978">
        <w:t xml:space="preserve"> </w:t>
      </w:r>
      <w:r w:rsidR="00BD15CB">
        <w:t>ri</w:t>
      </w:r>
      <w:r w:rsidR="00E63978" w:rsidRPr="00E63978">
        <w:t>ses to 1 MPa. This phenomenon was attributed to the Marangoni effect whereby the increase in partial pressure increases the concentration of CO</w:t>
      </w:r>
      <w:r w:rsidR="00E63978" w:rsidRPr="0092563D">
        <w:rPr>
          <w:vertAlign w:val="subscript"/>
        </w:rPr>
        <w:t>2</w:t>
      </w:r>
      <w:r w:rsidR="00E63978" w:rsidRPr="00E63978">
        <w:t xml:space="preserve"> at the gas/liquid-phase interface; such a condition disrupts the interface and thus promotes the </w:t>
      </w:r>
      <w:r w:rsidR="00BD15CB">
        <w:t>absorption rate</w:t>
      </w:r>
      <w:r w:rsidR="00E63978" w:rsidRPr="00E63978">
        <w:t xml:space="preserve"> (Tan et al., 2015).</w:t>
      </w:r>
      <w:r w:rsidR="00DB5ACC">
        <w:t xml:space="preserve"> </w:t>
      </w:r>
      <w:r w:rsidR="00E63978" w:rsidRPr="00E63978">
        <w:t>In research work, the behavio</w:t>
      </w:r>
      <w:r w:rsidR="00BD15CB">
        <w:t>u</w:t>
      </w:r>
      <w:r w:rsidR="00E63978" w:rsidRPr="00E63978">
        <w:t>r of an API 5L X65 carbon steel was evaluated by varying the pH, temperature, partial pressures of CO</w:t>
      </w:r>
      <w:r w:rsidR="00E63978" w:rsidRPr="0092563D">
        <w:rPr>
          <w:vertAlign w:val="subscript"/>
        </w:rPr>
        <w:t>2</w:t>
      </w:r>
      <w:r w:rsidR="00E63978" w:rsidRPr="00E63978">
        <w:t xml:space="preserve">, and flow rate. Polarization curves were obtained at pH </w:t>
      </w:r>
      <w:r w:rsidR="00BD15CB">
        <w:t>four</w:t>
      </w:r>
      <w:r w:rsidR="00E63978" w:rsidRPr="00E63978">
        <w:t xml:space="preserve"> and </w:t>
      </w:r>
      <w:r w:rsidR="00BD15CB">
        <w:t>five</w:t>
      </w:r>
      <w:r w:rsidR="00E63978" w:rsidRPr="00E63978">
        <w:t>, in which the influence of CO</w:t>
      </w:r>
      <w:r w:rsidR="00E63978" w:rsidRPr="0092563D">
        <w:rPr>
          <w:vertAlign w:val="subscript"/>
        </w:rPr>
        <w:t>2</w:t>
      </w:r>
      <w:r w:rsidR="00E63978" w:rsidRPr="00E63978">
        <w:t xml:space="preserve"> on the cathodic and anodic curves is noted. The results show that the direct reduction of carbonic acid is not significant at partial pressures of CO</w:t>
      </w:r>
      <w:r w:rsidR="00E63978" w:rsidRPr="0092563D">
        <w:rPr>
          <w:vertAlign w:val="subscript"/>
        </w:rPr>
        <w:t>2</w:t>
      </w:r>
      <w:r w:rsidR="00E63978" w:rsidRPr="00E63978">
        <w:t xml:space="preserve"> up to 0.5 MPa</w:t>
      </w:r>
      <w:r w:rsidR="00BD15CB">
        <w:t xml:space="preserve"> because</w:t>
      </w:r>
      <w:r w:rsidR="00E63978" w:rsidRPr="00E63978">
        <w:t xml:space="preserve"> carbonic acid acts as a reservoir for hydrogen ions</w:t>
      </w:r>
      <w:r w:rsidR="00BD15CB">
        <w:t>. Its presence only increases the limiting current densities</w:t>
      </w:r>
      <w:r w:rsidR="00E63978" w:rsidRPr="00E63978">
        <w:t xml:space="preserve"> observed by quenching the H</w:t>
      </w:r>
      <w:r w:rsidR="00E63978" w:rsidRPr="0092563D">
        <w:rPr>
          <w:vertAlign w:val="superscript"/>
        </w:rPr>
        <w:t>+</w:t>
      </w:r>
      <w:r w:rsidR="00E63978" w:rsidRPr="00E63978">
        <w:t xml:space="preserve"> concentration at the metal surface. It was also found that increasing the partial pressure of CO</w:t>
      </w:r>
      <w:r w:rsidR="00E63978" w:rsidRPr="0092563D">
        <w:rPr>
          <w:vertAlign w:val="subscript"/>
        </w:rPr>
        <w:t>2</w:t>
      </w:r>
      <w:r w:rsidR="00E63978" w:rsidRPr="00E63978">
        <w:t xml:space="preserve"> up to 0.5 MPa only s</w:t>
      </w:r>
      <w:r w:rsidR="00BD15CB">
        <w:t>lightly increases</w:t>
      </w:r>
      <w:r w:rsidR="00E63978" w:rsidRPr="00E63978">
        <w:t xml:space="preserve"> corrosion rates. Thus determining that for the temperature of 30</w:t>
      </w:r>
      <w:r w:rsidR="0092563D">
        <w:t xml:space="preserve"> </w:t>
      </w:r>
      <w:r w:rsidR="00E63978" w:rsidRPr="00E63978">
        <w:t xml:space="preserve">°C in the pH </w:t>
      </w:r>
      <w:r w:rsidR="00BD15CB">
        <w:t>four</w:t>
      </w:r>
      <w:r w:rsidR="00E63978" w:rsidRPr="00E63978">
        <w:t xml:space="preserve"> and</w:t>
      </w:r>
      <w:r w:rsidR="0092563D">
        <w:t xml:space="preserve"> pH</w:t>
      </w:r>
      <w:r w:rsidR="00E63978" w:rsidRPr="00E63978">
        <w:t xml:space="preserve"> 5, a higher rate of corrosion is observed than that corresponding to the temperature of 10</w:t>
      </w:r>
      <w:r w:rsidR="0092563D">
        <w:t xml:space="preserve"> </w:t>
      </w:r>
      <w:r w:rsidR="00E63978" w:rsidRPr="00E63978">
        <w:t xml:space="preserve">°C; It is also established that, for partial pressure of 5 bar, there is a higher corrosion rate compared to pressures lower than this, in the pH </w:t>
      </w:r>
      <w:r w:rsidR="00BD15CB">
        <w:t>five</w:t>
      </w:r>
      <w:r w:rsidR="00E63978" w:rsidRPr="00E63978">
        <w:t xml:space="preserve"> system (Kahyarian et al., 2018).</w:t>
      </w:r>
    </w:p>
    <w:p w14:paraId="67A40A31" w14:textId="71594080" w:rsidR="00677475" w:rsidRPr="008A08B2" w:rsidRDefault="0092563D" w:rsidP="00576E30">
      <w:pPr>
        <w:pStyle w:val="CETHeading1"/>
        <w:rPr>
          <w:shd w:val="clear" w:color="auto" w:fill="FFFFFF"/>
        </w:rPr>
      </w:pPr>
      <w:r w:rsidRPr="008A08B2">
        <w:rPr>
          <w:shd w:val="clear" w:color="auto" w:fill="FFFFFF"/>
        </w:rPr>
        <w:t xml:space="preserve">5. </w:t>
      </w:r>
      <w:r w:rsidR="009506E2" w:rsidRPr="008A08B2">
        <w:rPr>
          <w:shd w:val="clear" w:color="auto" w:fill="FFFFFF"/>
        </w:rPr>
        <w:t>Conclusions</w:t>
      </w:r>
    </w:p>
    <w:p w14:paraId="0C79BFCD" w14:textId="40C6024C" w:rsidR="00677475" w:rsidRDefault="00BD15CB" w:rsidP="008A08B2">
      <w:pPr>
        <w:pStyle w:val="CETBodytext"/>
      </w:pPr>
      <w:r>
        <w:t>This research work studied the effects of composition, the structure of amine, pressure, and temperature on CO</w:t>
      </w:r>
      <w:r w:rsidRPr="00444A5B">
        <w:rPr>
          <w:vertAlign w:val="subscript"/>
        </w:rPr>
        <w:t>2</w:t>
      </w:r>
      <w:r>
        <w:t xml:space="preserve"> capture efficiency and corrosion of carbon steels using amine-based solvents</w:t>
      </w:r>
      <w:r w:rsidR="00677475">
        <w:t>.</w:t>
      </w:r>
    </w:p>
    <w:p w14:paraId="19F1B7C6" w14:textId="075301A4" w:rsidR="00677475" w:rsidRDefault="00677475" w:rsidP="008A08B2">
      <w:pPr>
        <w:pStyle w:val="CETBodytext"/>
      </w:pPr>
      <w:r>
        <w:t>According to the review, primary amines</w:t>
      </w:r>
      <w:r w:rsidR="00977450">
        <w:t>-</w:t>
      </w:r>
      <w:r>
        <w:t>based solvents generally present a better CO</w:t>
      </w:r>
      <w:r w:rsidRPr="008A08B2">
        <w:rPr>
          <w:vertAlign w:val="subscript"/>
        </w:rPr>
        <w:t>2</w:t>
      </w:r>
      <w:r>
        <w:t xml:space="preserve"> capture efficiency, however, they tend to have higher corrosion rates in carbon steels. This is mainly due to the formation of carbamates when these amines react with CO</w:t>
      </w:r>
      <w:r w:rsidRPr="008A08B2">
        <w:rPr>
          <w:vertAlign w:val="subscript"/>
        </w:rPr>
        <w:t>2</w:t>
      </w:r>
      <w:r>
        <w:t>.</w:t>
      </w:r>
    </w:p>
    <w:p w14:paraId="1E790539" w14:textId="09E2C3EF" w:rsidR="00677475" w:rsidRDefault="00677475" w:rsidP="008A08B2">
      <w:pPr>
        <w:pStyle w:val="CETBodytext"/>
      </w:pPr>
      <w:r>
        <w:t xml:space="preserve">Corrosion rates decrease with the increasing number of substituents on amino groups and the switching from linear to cyclic amines, which can </w:t>
      </w:r>
      <w:r w:rsidR="00444A5B">
        <w:t xml:space="preserve">increase absorption capacity. </w:t>
      </w:r>
      <w:r>
        <w:t>Corrosion rates decreased when amine structures changed from linear to cyclic.</w:t>
      </w:r>
    </w:p>
    <w:p w14:paraId="1E193D2F" w14:textId="71F202C4" w:rsidR="00677475" w:rsidRDefault="00677475" w:rsidP="008A08B2">
      <w:pPr>
        <w:pStyle w:val="CETBodytext"/>
      </w:pPr>
      <w:r>
        <w:t>Using amine solvents as CO</w:t>
      </w:r>
      <w:r w:rsidRPr="008A08B2">
        <w:rPr>
          <w:vertAlign w:val="subscript"/>
        </w:rPr>
        <w:t>2</w:t>
      </w:r>
      <w:r>
        <w:t xml:space="preserve"> capture processes, </w:t>
      </w:r>
      <w:r w:rsidR="00BD15CB">
        <w:t>an equilibrium temperature value</w:t>
      </w:r>
      <w:r>
        <w:t xml:space="preserve"> provides an adequate CO</w:t>
      </w:r>
      <w:r w:rsidRPr="008A08B2">
        <w:rPr>
          <w:vertAlign w:val="subscript"/>
        </w:rPr>
        <w:t>2</w:t>
      </w:r>
      <w:r>
        <w:t xml:space="preserve"> efficiency vs energy cost ratio. Once this value is exceeded, there is no significant increase in CO</w:t>
      </w:r>
      <w:r w:rsidRPr="008A08B2">
        <w:rPr>
          <w:vertAlign w:val="subscript"/>
        </w:rPr>
        <w:t>2</w:t>
      </w:r>
      <w:r>
        <w:t xml:space="preserve"> capture efficiency, but the energy costs of the process increase drastically.</w:t>
      </w:r>
    </w:p>
    <w:p w14:paraId="3C7E32CC" w14:textId="63FADB65" w:rsidR="00791DC6" w:rsidRPr="00576E30" w:rsidRDefault="00677475" w:rsidP="008A08B2">
      <w:pPr>
        <w:pStyle w:val="CETBodytext"/>
      </w:pPr>
      <w:r>
        <w:t>The partial pressure of CO</w:t>
      </w:r>
      <w:r w:rsidRPr="008A08B2">
        <w:rPr>
          <w:vertAlign w:val="subscript"/>
        </w:rPr>
        <w:t>2</w:t>
      </w:r>
      <w:r>
        <w:t xml:space="preserve"> </w:t>
      </w:r>
      <w:r w:rsidR="00BD15CB">
        <w:t>increases</w:t>
      </w:r>
      <w:r>
        <w:t xml:space="preserve"> the corrosion rate in carbon steels due to changes in the anodic reaction rates.</w:t>
      </w:r>
      <w:bookmarkStart w:id="0" w:name="_GoBack"/>
      <w:bookmarkEnd w:id="0"/>
    </w:p>
    <w:p w14:paraId="0BA4D43E" w14:textId="3BF916DE" w:rsidR="00152F2B" w:rsidRDefault="009506E2" w:rsidP="008A08B2">
      <w:pPr>
        <w:pStyle w:val="CETReference"/>
        <w:rPr>
          <w:lang w:val="en-US"/>
        </w:rPr>
      </w:pPr>
      <w:r w:rsidRPr="00E63978">
        <w:rPr>
          <w:lang w:val="en-US"/>
        </w:rPr>
        <w:t>References</w:t>
      </w:r>
    </w:p>
    <w:p w14:paraId="3DA549BB" w14:textId="77777777" w:rsidR="006245E2" w:rsidRPr="002324F1" w:rsidRDefault="006245E2" w:rsidP="002324F1">
      <w:pPr>
        <w:pStyle w:val="CETReferencetext"/>
        <w:rPr>
          <w:color w:val="000000" w:themeColor="text1"/>
          <w:lang w:val="en-US"/>
        </w:rPr>
      </w:pPr>
      <w:r w:rsidRPr="002324F1">
        <w:rPr>
          <w:color w:val="000000" w:themeColor="text1"/>
          <w:lang w:val="en-US"/>
        </w:rPr>
        <w:t>Aghel B., Behaein S., Wongwises S., Safdari M., 2022. A review of recent progress in biogas upgrading: With emphasis on carbon capture. Biomass and Bioenergy, 160, 1-24.</w:t>
      </w:r>
    </w:p>
    <w:p w14:paraId="090A6DD8" w14:textId="77777777" w:rsidR="006245E2" w:rsidRPr="002324F1" w:rsidRDefault="006245E2" w:rsidP="002324F1">
      <w:pPr>
        <w:pStyle w:val="CETReferencetext"/>
        <w:rPr>
          <w:color w:val="000000" w:themeColor="text1"/>
          <w:lang w:val="en-US"/>
        </w:rPr>
      </w:pPr>
      <w:r w:rsidRPr="002324F1">
        <w:rPr>
          <w:color w:val="000000" w:themeColor="text1"/>
          <w:lang w:val="en-US"/>
        </w:rPr>
        <w:t>Aghel B., Behaein S., Wongwises S., Safdari M., 2022b. Review on CO</w:t>
      </w:r>
      <w:r w:rsidRPr="006245E2">
        <w:rPr>
          <w:color w:val="000000" w:themeColor="text1"/>
          <w:vertAlign w:val="subscript"/>
          <w:lang w:val="en-US"/>
        </w:rPr>
        <w:t>2</w:t>
      </w:r>
      <w:r w:rsidRPr="002324F1">
        <w:rPr>
          <w:color w:val="000000" w:themeColor="text1"/>
          <w:lang w:val="en-US"/>
        </w:rPr>
        <w:t xml:space="preserve"> capture by blended amine solutions. International Journal of Greenhouse Gas Control, 119, 1-18.</w:t>
      </w:r>
    </w:p>
    <w:p w14:paraId="7024A1F3" w14:textId="77777777" w:rsidR="006245E2" w:rsidRPr="002324F1" w:rsidRDefault="006245E2" w:rsidP="002324F1">
      <w:pPr>
        <w:pStyle w:val="CETReferencetext"/>
        <w:rPr>
          <w:color w:val="000000" w:themeColor="text1"/>
          <w:lang w:val="en-US"/>
        </w:rPr>
      </w:pPr>
      <w:r w:rsidRPr="006E4588">
        <w:rPr>
          <w:color w:val="000000" w:themeColor="text1"/>
          <w:lang w:val="en-US"/>
        </w:rPr>
        <w:t xml:space="preserve">Cao Y., Mehdi S., Taghi M., Khan, A., Khan A., Taghvaie A., Heidari Z., Pelalak R., Agustiono T., Albadarin A., 2021. </w:t>
      </w:r>
      <w:r w:rsidRPr="002324F1">
        <w:rPr>
          <w:color w:val="000000" w:themeColor="text1"/>
          <w:lang w:val="en-US"/>
        </w:rPr>
        <w:t xml:space="preserve">Mathematical modeling and numerical simulation of CO2 capture using MDEA-based nanofluids in nanostructure membranes. Process Safety and Environmental Protection, 148, 1377–1385. </w:t>
      </w:r>
    </w:p>
    <w:p w14:paraId="4865E71B" w14:textId="77777777" w:rsidR="006245E2" w:rsidRPr="002324F1" w:rsidRDefault="006245E2" w:rsidP="002324F1">
      <w:pPr>
        <w:pStyle w:val="CETReferencetext"/>
        <w:rPr>
          <w:color w:val="000000" w:themeColor="text1"/>
          <w:lang w:val="en-US"/>
        </w:rPr>
      </w:pPr>
      <w:r w:rsidRPr="002324F1">
        <w:rPr>
          <w:color w:val="000000" w:themeColor="text1"/>
          <w:lang w:val="en-US"/>
        </w:rPr>
        <w:t xml:space="preserve">Dash S., Parikh R., Kaul D., 2022. Development of efficient absorbent for CO2 capture process based on (AMP + 1MPZ). Materials Today: Proceedings, 62, 7072–7076. </w:t>
      </w:r>
    </w:p>
    <w:p w14:paraId="085FCC28" w14:textId="77777777" w:rsidR="006245E2" w:rsidRPr="002324F1" w:rsidRDefault="006245E2" w:rsidP="002324F1">
      <w:pPr>
        <w:pStyle w:val="CETReferencetext"/>
        <w:rPr>
          <w:color w:val="000000" w:themeColor="text1"/>
          <w:lang w:val="en-US"/>
        </w:rPr>
      </w:pPr>
      <w:r w:rsidRPr="002324F1">
        <w:rPr>
          <w:color w:val="000000" w:themeColor="text1"/>
          <w:lang w:val="en-US"/>
        </w:rPr>
        <w:t>Fernández J., 2022. Process Simulations and Experimental Studies of CO2 Capture. Energies, 15, 1-3.</w:t>
      </w:r>
    </w:p>
    <w:p w14:paraId="5E27C9BC" w14:textId="4DBD668B" w:rsidR="006245E2" w:rsidRPr="006E4588" w:rsidRDefault="006245E2" w:rsidP="002324F1">
      <w:pPr>
        <w:pStyle w:val="CETReferencetext"/>
        <w:rPr>
          <w:color w:val="000000" w:themeColor="text1"/>
          <w:lang w:val="en-US"/>
        </w:rPr>
      </w:pPr>
      <w:r w:rsidRPr="002324F1">
        <w:rPr>
          <w:color w:val="000000" w:themeColor="text1"/>
          <w:lang w:val="en-US"/>
        </w:rPr>
        <w:lastRenderedPageBreak/>
        <w:t>Gunasekaran P.</w:t>
      </w:r>
      <w:r w:rsidR="00444A5B">
        <w:rPr>
          <w:color w:val="000000" w:themeColor="text1"/>
          <w:lang w:val="en-US"/>
        </w:rPr>
        <w:t>, Veawab A., Aroonwilas A., 2017</w:t>
      </w:r>
      <w:r w:rsidRPr="002324F1">
        <w:rPr>
          <w:color w:val="000000" w:themeColor="text1"/>
          <w:lang w:val="en-US"/>
        </w:rPr>
        <w:t xml:space="preserve">. </w:t>
      </w:r>
      <w:r w:rsidR="00444A5B" w:rsidRPr="00444A5B">
        <w:rPr>
          <w:color w:val="000000" w:themeColor="text1"/>
          <w:lang w:val="en-US"/>
        </w:rPr>
        <w:t>Corrosivity of Amine-Based Absorbents for CO</w:t>
      </w:r>
      <w:r w:rsidR="00444A5B" w:rsidRPr="00444A5B">
        <w:rPr>
          <w:color w:val="000000" w:themeColor="text1"/>
          <w:vertAlign w:val="subscript"/>
          <w:lang w:val="en-US"/>
        </w:rPr>
        <w:t>2</w:t>
      </w:r>
      <w:r w:rsidR="00444A5B" w:rsidRPr="00444A5B">
        <w:rPr>
          <w:color w:val="000000" w:themeColor="text1"/>
          <w:lang w:val="en-US"/>
        </w:rPr>
        <w:t xml:space="preserve"> Capture</w:t>
      </w:r>
      <w:r w:rsidRPr="002324F1">
        <w:rPr>
          <w:color w:val="000000" w:themeColor="text1"/>
          <w:lang w:val="en-US"/>
        </w:rPr>
        <w:t xml:space="preserve">. </w:t>
      </w:r>
      <w:r w:rsidR="00444A5B">
        <w:rPr>
          <w:color w:val="000000" w:themeColor="text1"/>
          <w:lang w:val="en-US"/>
        </w:rPr>
        <w:t>Energy Procedia, 114, 2047–2054</w:t>
      </w:r>
      <w:r w:rsidRPr="006E4588">
        <w:rPr>
          <w:color w:val="000000" w:themeColor="text1"/>
          <w:lang w:val="en-US"/>
        </w:rPr>
        <w:t xml:space="preserve">. </w:t>
      </w:r>
    </w:p>
    <w:p w14:paraId="37731BC5" w14:textId="77777777" w:rsidR="006245E2" w:rsidRPr="002324F1" w:rsidRDefault="006245E2" w:rsidP="002324F1">
      <w:pPr>
        <w:pStyle w:val="CETReferencetext"/>
        <w:rPr>
          <w:color w:val="000000" w:themeColor="text1"/>
          <w:lang w:val="en-US"/>
        </w:rPr>
      </w:pPr>
      <w:r w:rsidRPr="002324F1">
        <w:rPr>
          <w:color w:val="000000" w:themeColor="text1"/>
          <w:lang w:val="en-US"/>
        </w:rPr>
        <w:t>Helei L., Tantikhajorngosol P., Chan C., Tontiwachwuthikul P., 2021. Technology development and applications of artificial intelligence for post-combustion carbon dioxide capture: Critical literature review and perspectives. International Journal of Greenhouse Gas Control, 108, 1-15.</w:t>
      </w:r>
    </w:p>
    <w:p w14:paraId="55FD32AD" w14:textId="77777777" w:rsidR="006245E2" w:rsidRPr="00E007E0" w:rsidRDefault="006245E2" w:rsidP="002324F1">
      <w:pPr>
        <w:pStyle w:val="CETReferencetext"/>
        <w:rPr>
          <w:color w:val="000000" w:themeColor="text1"/>
          <w:lang w:val="es-CO"/>
        </w:rPr>
      </w:pPr>
      <w:r w:rsidRPr="006E4588">
        <w:rPr>
          <w:color w:val="000000" w:themeColor="text1"/>
          <w:lang w:val="en-US"/>
        </w:rPr>
        <w:t xml:space="preserve">Hernández M., 2019. Corrosion in pipes of coatings. </w:t>
      </w:r>
      <w:r w:rsidRPr="00E007E0">
        <w:rPr>
          <w:color w:val="000000" w:themeColor="text1"/>
          <w:lang w:val="es-CO"/>
        </w:rPr>
        <w:t>Universidad Nacional Autónoma de México, 1-124 (in Spanish).</w:t>
      </w:r>
    </w:p>
    <w:p w14:paraId="6D8DF614" w14:textId="77777777" w:rsidR="006245E2" w:rsidRPr="002324F1" w:rsidRDefault="006245E2" w:rsidP="002324F1">
      <w:pPr>
        <w:pStyle w:val="CETReferencetext"/>
        <w:rPr>
          <w:color w:val="000000" w:themeColor="text1"/>
          <w:lang w:val="en-US"/>
        </w:rPr>
      </w:pPr>
      <w:r w:rsidRPr="002324F1">
        <w:rPr>
          <w:color w:val="000000" w:themeColor="text1"/>
          <w:lang w:val="en-US"/>
        </w:rPr>
        <w:t>Joel A., Wang M., Ramshaw C., Oko E., 2014. Process analysis of intensified absorber for post-combustion CO</w:t>
      </w:r>
      <w:r w:rsidRPr="006245E2">
        <w:rPr>
          <w:color w:val="000000" w:themeColor="text1"/>
          <w:vertAlign w:val="subscript"/>
          <w:lang w:val="en-US"/>
        </w:rPr>
        <w:t>2</w:t>
      </w:r>
      <w:r w:rsidRPr="002324F1">
        <w:rPr>
          <w:color w:val="000000" w:themeColor="text1"/>
          <w:lang w:val="en-US"/>
        </w:rPr>
        <w:t xml:space="preserve"> capture through modelling and simulation. International Journal of Greenhouse Gas Control, 21, 91-100.</w:t>
      </w:r>
    </w:p>
    <w:p w14:paraId="7A26584B" w14:textId="77777777" w:rsidR="006245E2" w:rsidRPr="002324F1" w:rsidRDefault="006245E2" w:rsidP="002324F1">
      <w:pPr>
        <w:pStyle w:val="CETReferencetext"/>
        <w:rPr>
          <w:color w:val="000000" w:themeColor="text1"/>
          <w:lang w:val="en-US"/>
        </w:rPr>
      </w:pPr>
      <w:r w:rsidRPr="002324F1">
        <w:rPr>
          <w:color w:val="000000" w:themeColor="text1"/>
          <w:lang w:val="en-US"/>
        </w:rPr>
        <w:t xml:space="preserve">Kahyarian A., Brown B., Nesic S., 2018. Mechanism of CO2 corrosion of mild steel: A new narrative.  NACE CORROSION- OnePetro. </w:t>
      </w:r>
      <w:r w:rsidRPr="008B13A6">
        <w:rPr>
          <w:color w:val="000000" w:themeColor="text1"/>
          <w:lang w:val="en-US"/>
        </w:rPr>
        <w:t>accessed 20.06.2022, 15 April.</w:t>
      </w:r>
    </w:p>
    <w:p w14:paraId="2C163F57" w14:textId="3A421AEC" w:rsidR="006245E2" w:rsidRDefault="006245E2" w:rsidP="002324F1">
      <w:pPr>
        <w:pStyle w:val="CETReferencetext"/>
        <w:rPr>
          <w:color w:val="000000" w:themeColor="text1"/>
          <w:lang w:val="en-US"/>
        </w:rPr>
      </w:pPr>
      <w:r w:rsidRPr="002324F1">
        <w:rPr>
          <w:color w:val="000000" w:themeColor="text1"/>
          <w:lang w:val="en-US"/>
        </w:rPr>
        <w:t>Li X., Pearson P., Yang Q., Puxty G., Feron P., Xiao D., 2020. A study of designer amine 4-amino-1-propyl-piperidine against the corrosion of carbon steel for application in CO</w:t>
      </w:r>
      <w:r w:rsidRPr="006245E2">
        <w:rPr>
          <w:color w:val="000000" w:themeColor="text1"/>
          <w:vertAlign w:val="subscript"/>
          <w:lang w:val="en-US"/>
        </w:rPr>
        <w:t>2</w:t>
      </w:r>
      <w:r w:rsidRPr="002324F1">
        <w:rPr>
          <w:color w:val="000000" w:themeColor="text1"/>
          <w:lang w:val="en-US"/>
        </w:rPr>
        <w:t xml:space="preserve"> capture. International Journal of Greenhouse Gas Control, 94, 1-10.</w:t>
      </w:r>
    </w:p>
    <w:p w14:paraId="150F9BF0" w14:textId="12FD3199" w:rsidR="00B54B73" w:rsidRPr="002324F1" w:rsidRDefault="00B54B73" w:rsidP="00B54B73">
      <w:pPr>
        <w:pStyle w:val="CETReferencetext"/>
        <w:rPr>
          <w:color w:val="000000" w:themeColor="text1"/>
          <w:lang w:val="en-US"/>
        </w:rPr>
      </w:pPr>
      <w:r>
        <w:rPr>
          <w:color w:val="000000" w:themeColor="text1"/>
          <w:lang w:val="en-US"/>
        </w:rPr>
        <w:t xml:space="preserve">Mailhol L., </w:t>
      </w:r>
      <w:r w:rsidRPr="00B54B73">
        <w:rPr>
          <w:color w:val="000000" w:themeColor="text1"/>
          <w:lang w:val="en-US"/>
        </w:rPr>
        <w:t>Bouallou C.</w:t>
      </w:r>
      <w:r>
        <w:rPr>
          <w:color w:val="000000" w:themeColor="text1"/>
          <w:lang w:val="en-US"/>
        </w:rPr>
        <w:t>, 2021</w:t>
      </w:r>
      <w:r w:rsidRPr="00B54B73">
        <w:rPr>
          <w:color w:val="000000" w:themeColor="text1"/>
          <w:lang w:val="en-US"/>
        </w:rPr>
        <w:t>. Kinetic Study of Post-Combustion CO2 Absorption by Methyldiethanolamine 30 wt.% and Hexylamine 10 wt.% as New Aqueous Solution. Chemical Engine</w:t>
      </w:r>
      <w:r>
        <w:rPr>
          <w:color w:val="000000" w:themeColor="text1"/>
          <w:lang w:val="en-US"/>
        </w:rPr>
        <w:t>ering Transactions, 88,</w:t>
      </w:r>
      <w:r w:rsidRPr="00B54B73">
        <w:rPr>
          <w:color w:val="000000" w:themeColor="text1"/>
          <w:lang w:val="en-US"/>
        </w:rPr>
        <w:t xml:space="preserve"> 181–186. htt</w:t>
      </w:r>
      <w:r>
        <w:rPr>
          <w:color w:val="000000" w:themeColor="text1"/>
          <w:lang w:val="en-US"/>
        </w:rPr>
        <w:t>ps://doi.org/10.3303/CET2188030</w:t>
      </w:r>
    </w:p>
    <w:p w14:paraId="6C88BD73" w14:textId="77777777" w:rsidR="006245E2" w:rsidRPr="002324F1" w:rsidRDefault="006245E2" w:rsidP="002324F1">
      <w:pPr>
        <w:pStyle w:val="CETReferencetext"/>
        <w:rPr>
          <w:color w:val="000000" w:themeColor="text1"/>
          <w:lang w:val="en-US"/>
        </w:rPr>
      </w:pPr>
      <w:r w:rsidRPr="002324F1">
        <w:rPr>
          <w:color w:val="000000" w:themeColor="text1"/>
          <w:lang w:val="en-US"/>
        </w:rPr>
        <w:t>Nwaoha C., Supap T., Idem R., Saiwan C., Tontiwachwuthikul P., Al-Marri M., Benamor A., 2017. Advancement and new perspectives of using formulated reactive amine blends for post-combustion carbon dioxide (CO</w:t>
      </w:r>
      <w:r w:rsidRPr="006245E2">
        <w:rPr>
          <w:color w:val="000000" w:themeColor="text1"/>
          <w:vertAlign w:val="subscript"/>
          <w:lang w:val="en-US"/>
        </w:rPr>
        <w:t>2</w:t>
      </w:r>
      <w:r w:rsidRPr="002324F1">
        <w:rPr>
          <w:color w:val="000000" w:themeColor="text1"/>
          <w:lang w:val="en-US"/>
        </w:rPr>
        <w:t>) capture technologies. Petroleum, 3, 10-36</w:t>
      </w:r>
    </w:p>
    <w:p w14:paraId="54D8E49B" w14:textId="77777777" w:rsidR="006245E2" w:rsidRPr="002324F1" w:rsidRDefault="006245E2" w:rsidP="002324F1">
      <w:pPr>
        <w:pStyle w:val="CETReferencetext"/>
        <w:rPr>
          <w:color w:val="000000" w:themeColor="text1"/>
          <w:lang w:val="en-US"/>
        </w:rPr>
      </w:pPr>
      <w:r w:rsidRPr="002324F1">
        <w:rPr>
          <w:color w:val="000000" w:themeColor="text1"/>
          <w:lang w:val="en-US"/>
        </w:rPr>
        <w:t>Nwaoha C., Supap T., Idem R., Saiwan C., Tontiwachwuthikul P., AL-Marri M., Benamor A., 2017. Advancement and new perspectives of using formulated reactive amine blends for post-combustion carbon dioxide (CO</w:t>
      </w:r>
      <w:r w:rsidRPr="006245E2">
        <w:rPr>
          <w:color w:val="000000" w:themeColor="text1"/>
          <w:vertAlign w:val="subscript"/>
          <w:lang w:val="en-US"/>
        </w:rPr>
        <w:t>2</w:t>
      </w:r>
      <w:r w:rsidRPr="002324F1">
        <w:rPr>
          <w:color w:val="000000" w:themeColor="text1"/>
          <w:lang w:val="en-US"/>
        </w:rPr>
        <w:t xml:space="preserve">) capture technologies. Petroleum, 3(1), 10–36. </w:t>
      </w:r>
    </w:p>
    <w:p w14:paraId="1FC6E3A7" w14:textId="77777777" w:rsidR="006245E2" w:rsidRPr="002324F1" w:rsidRDefault="006245E2" w:rsidP="002324F1">
      <w:pPr>
        <w:pStyle w:val="CETReferencetext"/>
        <w:rPr>
          <w:color w:val="000000" w:themeColor="text1"/>
          <w:lang w:val="en-US"/>
        </w:rPr>
      </w:pPr>
      <w:r w:rsidRPr="006E4588">
        <w:rPr>
          <w:color w:val="000000" w:themeColor="text1"/>
          <w:lang w:val="en-US"/>
        </w:rPr>
        <w:t xml:space="preserve">Ooi, Z., Tan P., Tan L., Yeap S., 2020. </w:t>
      </w:r>
      <w:r w:rsidRPr="002324F1">
        <w:rPr>
          <w:color w:val="000000" w:themeColor="text1"/>
          <w:lang w:val="en-US"/>
        </w:rPr>
        <w:t>Amine-based solvent for CO</w:t>
      </w:r>
      <w:r w:rsidRPr="006245E2">
        <w:rPr>
          <w:color w:val="000000" w:themeColor="text1"/>
          <w:vertAlign w:val="subscript"/>
          <w:lang w:val="en-US"/>
        </w:rPr>
        <w:t>2</w:t>
      </w:r>
      <w:r w:rsidRPr="002324F1">
        <w:rPr>
          <w:color w:val="000000" w:themeColor="text1"/>
          <w:lang w:val="en-US"/>
        </w:rPr>
        <w:t xml:space="preserve"> absorption and its impact on carbon steel corrosion: A perspective review. Chinese Journal of Chemical Engineering, 28(5), 1357–1367. </w:t>
      </w:r>
    </w:p>
    <w:p w14:paraId="2C18533D" w14:textId="77777777" w:rsidR="006245E2" w:rsidRPr="002324F1" w:rsidRDefault="006245E2" w:rsidP="002324F1">
      <w:pPr>
        <w:pStyle w:val="CETReferencetext"/>
        <w:rPr>
          <w:color w:val="000000" w:themeColor="text1"/>
          <w:lang w:val="en-US"/>
        </w:rPr>
      </w:pPr>
      <w:r w:rsidRPr="002324F1">
        <w:rPr>
          <w:color w:val="000000" w:themeColor="text1"/>
          <w:lang w:val="en-US"/>
        </w:rPr>
        <w:t xml:space="preserve">Pérez T., 2013. Corrosion in the Oil and Gas Industry: A increasing challenge for materials. </w:t>
      </w:r>
    </w:p>
    <w:p w14:paraId="3C3E0F45" w14:textId="77777777" w:rsidR="006245E2" w:rsidRPr="002324F1" w:rsidRDefault="006245E2" w:rsidP="002324F1">
      <w:pPr>
        <w:pStyle w:val="CETReferencetext"/>
        <w:rPr>
          <w:color w:val="000000" w:themeColor="text1"/>
          <w:lang w:val="en-US"/>
        </w:rPr>
      </w:pPr>
      <w:r w:rsidRPr="002324F1">
        <w:rPr>
          <w:color w:val="000000" w:themeColor="text1"/>
          <w:lang w:val="en-US"/>
        </w:rPr>
        <w:t>Shahid M., Maulud A., Bustam M., Suleman H., Abdul H., Shariff A., 2021. Packed column modelling and experimental evaluation for CO2 absorption using MDEA solution at high pressure and high CO</w:t>
      </w:r>
      <w:r w:rsidRPr="006245E2">
        <w:rPr>
          <w:color w:val="000000" w:themeColor="text1"/>
          <w:vertAlign w:val="subscript"/>
          <w:lang w:val="en-US"/>
        </w:rPr>
        <w:t>2</w:t>
      </w:r>
      <w:r w:rsidRPr="002324F1">
        <w:rPr>
          <w:color w:val="000000" w:themeColor="text1"/>
          <w:lang w:val="en-US"/>
        </w:rPr>
        <w:t xml:space="preserve"> concentrations. Journal of Natural Gas Science and Engineering, 88, 103829. </w:t>
      </w:r>
    </w:p>
    <w:p w14:paraId="33DCA82D" w14:textId="77777777" w:rsidR="006245E2" w:rsidRPr="002324F1" w:rsidRDefault="006245E2" w:rsidP="002324F1">
      <w:pPr>
        <w:pStyle w:val="CETReferencetext"/>
        <w:rPr>
          <w:color w:val="000000" w:themeColor="text1"/>
          <w:lang w:val="en-US"/>
        </w:rPr>
      </w:pPr>
      <w:r w:rsidRPr="002324F1">
        <w:rPr>
          <w:color w:val="000000" w:themeColor="text1"/>
          <w:lang w:val="en-US"/>
        </w:rPr>
        <w:t>Shamsa A., Barker R., Hua Y., Barmatov E., Hughes T., Neville A., 2021. Impact of corrosion products on performance of imidazoline corrosion inhibitor on X65 carbon steel in CO</w:t>
      </w:r>
      <w:r w:rsidRPr="006245E2">
        <w:rPr>
          <w:color w:val="000000" w:themeColor="text1"/>
          <w:vertAlign w:val="subscript"/>
          <w:lang w:val="en-US"/>
        </w:rPr>
        <w:t>2</w:t>
      </w:r>
      <w:r w:rsidRPr="002324F1">
        <w:rPr>
          <w:color w:val="000000" w:themeColor="text1"/>
          <w:lang w:val="en-US"/>
        </w:rPr>
        <w:t xml:space="preserve"> environments. Corrosion Science, 185, 109423. </w:t>
      </w:r>
    </w:p>
    <w:p w14:paraId="332CA595" w14:textId="77777777" w:rsidR="006245E2" w:rsidRPr="001C3ED9" w:rsidRDefault="006245E2" w:rsidP="002324F1">
      <w:pPr>
        <w:pStyle w:val="CETReferencetext"/>
        <w:rPr>
          <w:lang w:val="en-US"/>
        </w:rPr>
      </w:pPr>
      <w:r w:rsidRPr="002324F1">
        <w:rPr>
          <w:color w:val="000000" w:themeColor="text1"/>
          <w:lang w:val="en-US"/>
        </w:rPr>
        <w:t xml:space="preserve">Tan L., Shariff A., Lau K., Bustam M., 2015. Impact of high pressure on high concentration carbon dioxide capture from natural gas by monoethanolamine/N-methyl-2- pyrrolidone solvent in absorption packed column. International Journal of Greenhouse Gas Control, 34, 25–30. </w:t>
      </w:r>
    </w:p>
    <w:p w14:paraId="40C96E00" w14:textId="7D8AEAC8" w:rsidR="008433CE" w:rsidRPr="001C3ED9" w:rsidRDefault="008433CE" w:rsidP="002324F1">
      <w:pPr>
        <w:pStyle w:val="CETReferencetext"/>
        <w:rPr>
          <w:lang w:val="en-US"/>
        </w:rPr>
      </w:pPr>
    </w:p>
    <w:sectPr w:rsidR="008433CE" w:rsidRPr="001C3ED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32E0" w14:textId="77777777" w:rsidR="00C64B99" w:rsidRDefault="00C64B99" w:rsidP="004F5E36">
      <w:r>
        <w:separator/>
      </w:r>
    </w:p>
  </w:endnote>
  <w:endnote w:type="continuationSeparator" w:id="0">
    <w:p w14:paraId="10FC9974" w14:textId="77777777" w:rsidR="00C64B99" w:rsidRDefault="00C64B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C6FE" w14:textId="77777777" w:rsidR="00C64B99" w:rsidRDefault="00C64B99" w:rsidP="004F5E36">
      <w:r>
        <w:separator/>
      </w:r>
    </w:p>
  </w:footnote>
  <w:footnote w:type="continuationSeparator" w:id="0">
    <w:p w14:paraId="546193B9" w14:textId="77777777" w:rsidR="00C64B99" w:rsidRDefault="00C64B99"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2975"/>
        </w:tabs>
        <w:ind w:left="2975"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140CF7"/>
    <w:multiLevelType w:val="hybridMultilevel"/>
    <w:tmpl w:val="3B2A1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943DC"/>
    <w:multiLevelType w:val="hybridMultilevel"/>
    <w:tmpl w:val="5BAA1E80"/>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16035"/>
    <w:multiLevelType w:val="hybridMultilevel"/>
    <w:tmpl w:val="45CAA82E"/>
    <w:lvl w:ilvl="0" w:tplc="24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EE55F4"/>
    <w:multiLevelType w:val="hybridMultilevel"/>
    <w:tmpl w:val="B01E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3440A"/>
    <w:multiLevelType w:val="hybridMultilevel"/>
    <w:tmpl w:val="216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1647B"/>
    <w:multiLevelType w:val="hybridMultilevel"/>
    <w:tmpl w:val="75EE98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25D04320"/>
    <w:multiLevelType w:val="hybridMultilevel"/>
    <w:tmpl w:val="BFCE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F0A3D"/>
    <w:multiLevelType w:val="hybridMultilevel"/>
    <w:tmpl w:val="83C8F9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254E4C"/>
    <w:multiLevelType w:val="hybridMultilevel"/>
    <w:tmpl w:val="5BAA1E80"/>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66278"/>
    <w:multiLevelType w:val="hybridMultilevel"/>
    <w:tmpl w:val="EF38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006C1"/>
    <w:multiLevelType w:val="hybridMultilevel"/>
    <w:tmpl w:val="83C8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33D3BDC"/>
    <w:multiLevelType w:val="hybridMultilevel"/>
    <w:tmpl w:val="5BAA1E80"/>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72599"/>
    <w:multiLevelType w:val="hybridMultilevel"/>
    <w:tmpl w:val="45D8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3115E"/>
    <w:multiLevelType w:val="hybridMultilevel"/>
    <w:tmpl w:val="F7E8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2" w15:restartNumberingAfterBreak="0">
    <w:nsid w:val="58A45C09"/>
    <w:multiLevelType w:val="hybridMultilevel"/>
    <w:tmpl w:val="0D30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6455F9"/>
    <w:multiLevelType w:val="hybridMultilevel"/>
    <w:tmpl w:val="E4E6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B4367"/>
    <w:multiLevelType w:val="hybridMultilevel"/>
    <w:tmpl w:val="D708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3A5D2A"/>
    <w:multiLevelType w:val="hybridMultilevel"/>
    <w:tmpl w:val="C0A0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441D9"/>
    <w:multiLevelType w:val="hybridMultilevel"/>
    <w:tmpl w:val="AB3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1"/>
  </w:num>
  <w:num w:numId="13">
    <w:abstractNumId w:val="22"/>
  </w:num>
  <w:num w:numId="14">
    <w:abstractNumId w:val="33"/>
  </w:num>
  <w:num w:numId="15">
    <w:abstractNumId w:val="37"/>
  </w:num>
  <w:num w:numId="16">
    <w:abstractNumId w:val="36"/>
  </w:num>
  <w:num w:numId="17">
    <w:abstractNumId w:val="19"/>
  </w:num>
  <w:num w:numId="18">
    <w:abstractNumId w:val="22"/>
    <w:lvlOverride w:ilvl="0">
      <w:startOverride w:val="1"/>
    </w:lvlOverride>
  </w:num>
  <w:num w:numId="19">
    <w:abstractNumId w:val="30"/>
  </w:num>
  <w:num w:numId="20">
    <w:abstractNumId w:val="29"/>
  </w:num>
  <w:num w:numId="21">
    <w:abstractNumId w:val="25"/>
  </w:num>
  <w:num w:numId="22">
    <w:abstractNumId w:val="23"/>
  </w:num>
  <w:num w:numId="23">
    <w:abstractNumId w:val="15"/>
  </w:num>
  <w:num w:numId="24">
    <w:abstractNumId w:val="10"/>
  </w:num>
  <w:num w:numId="25">
    <w:abstractNumId w:val="38"/>
  </w:num>
  <w:num w:numId="26">
    <w:abstractNumId w:val="17"/>
  </w:num>
  <w:num w:numId="27">
    <w:abstractNumId w:val="13"/>
  </w:num>
  <w:num w:numId="28">
    <w:abstractNumId w:val="14"/>
  </w:num>
  <w:num w:numId="29">
    <w:abstractNumId w:val="32"/>
  </w:num>
  <w:num w:numId="30">
    <w:abstractNumId w:val="24"/>
  </w:num>
  <w:num w:numId="31">
    <w:abstractNumId w:val="35"/>
  </w:num>
  <w:num w:numId="32">
    <w:abstractNumId w:val="28"/>
  </w:num>
  <w:num w:numId="33">
    <w:abstractNumId w:val="34"/>
  </w:num>
  <w:num w:numId="34">
    <w:abstractNumId w:val="27"/>
  </w:num>
  <w:num w:numId="35">
    <w:abstractNumId w:val="26"/>
  </w:num>
  <w:num w:numId="36">
    <w:abstractNumId w:val="20"/>
  </w:num>
  <w:num w:numId="37">
    <w:abstractNumId w:val="11"/>
  </w:num>
  <w:num w:numId="38">
    <w:abstractNumId w:val="12"/>
  </w:num>
  <w:num w:numId="39">
    <w:abstractNumId w:val="21"/>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1330"/>
    <w:rsid w:val="000117CB"/>
    <w:rsid w:val="00030CEF"/>
    <w:rsid w:val="0003148D"/>
    <w:rsid w:val="00031EEC"/>
    <w:rsid w:val="00045918"/>
    <w:rsid w:val="00051566"/>
    <w:rsid w:val="00062A9A"/>
    <w:rsid w:val="00065058"/>
    <w:rsid w:val="000768AF"/>
    <w:rsid w:val="00086C39"/>
    <w:rsid w:val="000A03B2"/>
    <w:rsid w:val="000A1F53"/>
    <w:rsid w:val="000B116C"/>
    <w:rsid w:val="000C7E65"/>
    <w:rsid w:val="000D0268"/>
    <w:rsid w:val="000D34BE"/>
    <w:rsid w:val="000E102F"/>
    <w:rsid w:val="000E36F1"/>
    <w:rsid w:val="000E3A73"/>
    <w:rsid w:val="000E414A"/>
    <w:rsid w:val="000F093C"/>
    <w:rsid w:val="000F787B"/>
    <w:rsid w:val="00110D64"/>
    <w:rsid w:val="0012091F"/>
    <w:rsid w:val="00126BC2"/>
    <w:rsid w:val="001308B6"/>
    <w:rsid w:val="0013121F"/>
    <w:rsid w:val="00131FE6"/>
    <w:rsid w:val="0013263F"/>
    <w:rsid w:val="001331DF"/>
    <w:rsid w:val="00134DE4"/>
    <w:rsid w:val="0014034D"/>
    <w:rsid w:val="00144D16"/>
    <w:rsid w:val="001457AE"/>
    <w:rsid w:val="00150E59"/>
    <w:rsid w:val="00152DE3"/>
    <w:rsid w:val="00152F2B"/>
    <w:rsid w:val="00164CF9"/>
    <w:rsid w:val="001667A6"/>
    <w:rsid w:val="00184AD6"/>
    <w:rsid w:val="001A4AF7"/>
    <w:rsid w:val="001B0349"/>
    <w:rsid w:val="001B1E93"/>
    <w:rsid w:val="001B317B"/>
    <w:rsid w:val="001B65C1"/>
    <w:rsid w:val="001C3ED9"/>
    <w:rsid w:val="001C684B"/>
    <w:rsid w:val="001D0CFB"/>
    <w:rsid w:val="001D21AF"/>
    <w:rsid w:val="001D53FC"/>
    <w:rsid w:val="001E33A9"/>
    <w:rsid w:val="001F42A5"/>
    <w:rsid w:val="001F75BB"/>
    <w:rsid w:val="001F7B9D"/>
    <w:rsid w:val="00201C93"/>
    <w:rsid w:val="00202A85"/>
    <w:rsid w:val="00221E42"/>
    <w:rsid w:val="002224B4"/>
    <w:rsid w:val="00224981"/>
    <w:rsid w:val="002256A9"/>
    <w:rsid w:val="002324F1"/>
    <w:rsid w:val="002447EF"/>
    <w:rsid w:val="00251550"/>
    <w:rsid w:val="00263B05"/>
    <w:rsid w:val="0027051C"/>
    <w:rsid w:val="0027221A"/>
    <w:rsid w:val="0027268A"/>
    <w:rsid w:val="00275B61"/>
    <w:rsid w:val="00280FAF"/>
    <w:rsid w:val="00282656"/>
    <w:rsid w:val="002962B6"/>
    <w:rsid w:val="00296B83"/>
    <w:rsid w:val="002B4015"/>
    <w:rsid w:val="002B778B"/>
    <w:rsid w:val="002B78CE"/>
    <w:rsid w:val="002C2FB6"/>
    <w:rsid w:val="002E5FA7"/>
    <w:rsid w:val="002F3309"/>
    <w:rsid w:val="002F4E06"/>
    <w:rsid w:val="003008CE"/>
    <w:rsid w:val="003009B7"/>
    <w:rsid w:val="00300E56"/>
    <w:rsid w:val="0030469C"/>
    <w:rsid w:val="00321CA6"/>
    <w:rsid w:val="0032211F"/>
    <w:rsid w:val="00323763"/>
    <w:rsid w:val="00334C09"/>
    <w:rsid w:val="003723D4"/>
    <w:rsid w:val="00381905"/>
    <w:rsid w:val="00384CC8"/>
    <w:rsid w:val="003871FD"/>
    <w:rsid w:val="00392C3A"/>
    <w:rsid w:val="00392C54"/>
    <w:rsid w:val="003A1E30"/>
    <w:rsid w:val="003A1FF0"/>
    <w:rsid w:val="003A2829"/>
    <w:rsid w:val="003A4EBB"/>
    <w:rsid w:val="003A7D1C"/>
    <w:rsid w:val="003B304B"/>
    <w:rsid w:val="003B3146"/>
    <w:rsid w:val="003F015E"/>
    <w:rsid w:val="00400414"/>
    <w:rsid w:val="004066F7"/>
    <w:rsid w:val="004076D4"/>
    <w:rsid w:val="0041446B"/>
    <w:rsid w:val="0044071E"/>
    <w:rsid w:val="0044329C"/>
    <w:rsid w:val="00444A5B"/>
    <w:rsid w:val="00451129"/>
    <w:rsid w:val="00453E24"/>
    <w:rsid w:val="00457456"/>
    <w:rsid w:val="004577FE"/>
    <w:rsid w:val="00457B9C"/>
    <w:rsid w:val="0046164A"/>
    <w:rsid w:val="004628D2"/>
    <w:rsid w:val="00462DCD"/>
    <w:rsid w:val="004648AD"/>
    <w:rsid w:val="004703A9"/>
    <w:rsid w:val="004709CB"/>
    <w:rsid w:val="004760DE"/>
    <w:rsid w:val="004763D7"/>
    <w:rsid w:val="00484B37"/>
    <w:rsid w:val="00495B8A"/>
    <w:rsid w:val="004A004E"/>
    <w:rsid w:val="004A24CF"/>
    <w:rsid w:val="004B0704"/>
    <w:rsid w:val="004B32CA"/>
    <w:rsid w:val="004C3D1D"/>
    <w:rsid w:val="004C3D84"/>
    <w:rsid w:val="004C7913"/>
    <w:rsid w:val="004E4DD6"/>
    <w:rsid w:val="004E5E68"/>
    <w:rsid w:val="004F5E36"/>
    <w:rsid w:val="005060B5"/>
    <w:rsid w:val="00507B47"/>
    <w:rsid w:val="00507BEF"/>
    <w:rsid w:val="00507CC9"/>
    <w:rsid w:val="005119A5"/>
    <w:rsid w:val="005265FF"/>
    <w:rsid w:val="005278B7"/>
    <w:rsid w:val="00532016"/>
    <w:rsid w:val="005346C8"/>
    <w:rsid w:val="00536AE4"/>
    <w:rsid w:val="00543E7D"/>
    <w:rsid w:val="00544EE8"/>
    <w:rsid w:val="00547A68"/>
    <w:rsid w:val="005531C9"/>
    <w:rsid w:val="00564C61"/>
    <w:rsid w:val="00565BBF"/>
    <w:rsid w:val="00570C43"/>
    <w:rsid w:val="005727AA"/>
    <w:rsid w:val="00576E30"/>
    <w:rsid w:val="0058106D"/>
    <w:rsid w:val="005A4219"/>
    <w:rsid w:val="005A5C58"/>
    <w:rsid w:val="005A5C5A"/>
    <w:rsid w:val="005B2110"/>
    <w:rsid w:val="005B32BB"/>
    <w:rsid w:val="005B61E6"/>
    <w:rsid w:val="005C50C9"/>
    <w:rsid w:val="005C77E1"/>
    <w:rsid w:val="005D1C0A"/>
    <w:rsid w:val="005D668A"/>
    <w:rsid w:val="005D6A2F"/>
    <w:rsid w:val="005E1A82"/>
    <w:rsid w:val="005E794C"/>
    <w:rsid w:val="005F0A28"/>
    <w:rsid w:val="005F0E5E"/>
    <w:rsid w:val="00600535"/>
    <w:rsid w:val="00610CD6"/>
    <w:rsid w:val="00620DEE"/>
    <w:rsid w:val="00621F92"/>
    <w:rsid w:val="0062280A"/>
    <w:rsid w:val="006245E2"/>
    <w:rsid w:val="00624FAD"/>
    <w:rsid w:val="00625639"/>
    <w:rsid w:val="00631B33"/>
    <w:rsid w:val="00631C97"/>
    <w:rsid w:val="00640826"/>
    <w:rsid w:val="0064184D"/>
    <w:rsid w:val="006422CC"/>
    <w:rsid w:val="0066025E"/>
    <w:rsid w:val="00660E3E"/>
    <w:rsid w:val="00662AAD"/>
    <w:rsid w:val="00662E74"/>
    <w:rsid w:val="00677475"/>
    <w:rsid w:val="00680C23"/>
    <w:rsid w:val="00684DCE"/>
    <w:rsid w:val="00693766"/>
    <w:rsid w:val="006A3281"/>
    <w:rsid w:val="006B4888"/>
    <w:rsid w:val="006C2E45"/>
    <w:rsid w:val="006C359C"/>
    <w:rsid w:val="006C5579"/>
    <w:rsid w:val="006D6A28"/>
    <w:rsid w:val="006D6E8B"/>
    <w:rsid w:val="006D7980"/>
    <w:rsid w:val="006E4588"/>
    <w:rsid w:val="006E737D"/>
    <w:rsid w:val="00713973"/>
    <w:rsid w:val="00720A24"/>
    <w:rsid w:val="00732386"/>
    <w:rsid w:val="0073514D"/>
    <w:rsid w:val="00735CCD"/>
    <w:rsid w:val="00742C49"/>
    <w:rsid w:val="007447F3"/>
    <w:rsid w:val="0075499F"/>
    <w:rsid w:val="007661C8"/>
    <w:rsid w:val="0077098D"/>
    <w:rsid w:val="007717D8"/>
    <w:rsid w:val="0078563E"/>
    <w:rsid w:val="00791DC6"/>
    <w:rsid w:val="007931FA"/>
    <w:rsid w:val="00797289"/>
    <w:rsid w:val="007A4861"/>
    <w:rsid w:val="007A7BBA"/>
    <w:rsid w:val="007B0C50"/>
    <w:rsid w:val="007B48F9"/>
    <w:rsid w:val="007C1A43"/>
    <w:rsid w:val="007C5B38"/>
    <w:rsid w:val="0080013E"/>
    <w:rsid w:val="00803772"/>
    <w:rsid w:val="00813288"/>
    <w:rsid w:val="008168FC"/>
    <w:rsid w:val="008261E3"/>
    <w:rsid w:val="00830996"/>
    <w:rsid w:val="008345F1"/>
    <w:rsid w:val="0083748E"/>
    <w:rsid w:val="008433CE"/>
    <w:rsid w:val="0085287E"/>
    <w:rsid w:val="00865B07"/>
    <w:rsid w:val="008667EA"/>
    <w:rsid w:val="0087637F"/>
    <w:rsid w:val="00890003"/>
    <w:rsid w:val="00892AD5"/>
    <w:rsid w:val="008A08B2"/>
    <w:rsid w:val="008A1512"/>
    <w:rsid w:val="008A5EF7"/>
    <w:rsid w:val="008B41E5"/>
    <w:rsid w:val="008C043F"/>
    <w:rsid w:val="008C6735"/>
    <w:rsid w:val="008D23ED"/>
    <w:rsid w:val="008D32B9"/>
    <w:rsid w:val="008D433B"/>
    <w:rsid w:val="008D4A16"/>
    <w:rsid w:val="008E40FC"/>
    <w:rsid w:val="008E566E"/>
    <w:rsid w:val="00900071"/>
    <w:rsid w:val="0090161A"/>
    <w:rsid w:val="00901EB6"/>
    <w:rsid w:val="00904C62"/>
    <w:rsid w:val="00910B2F"/>
    <w:rsid w:val="00922BA8"/>
    <w:rsid w:val="00923690"/>
    <w:rsid w:val="00924DAC"/>
    <w:rsid w:val="0092563D"/>
    <w:rsid w:val="00927058"/>
    <w:rsid w:val="00940AD7"/>
    <w:rsid w:val="00942750"/>
    <w:rsid w:val="00944686"/>
    <w:rsid w:val="009450CE"/>
    <w:rsid w:val="00947179"/>
    <w:rsid w:val="009506E2"/>
    <w:rsid w:val="0095164B"/>
    <w:rsid w:val="009524D1"/>
    <w:rsid w:val="00954090"/>
    <w:rsid w:val="009573E7"/>
    <w:rsid w:val="00963E05"/>
    <w:rsid w:val="00964A45"/>
    <w:rsid w:val="00967843"/>
    <w:rsid w:val="00967D54"/>
    <w:rsid w:val="00971028"/>
    <w:rsid w:val="00977450"/>
    <w:rsid w:val="009848C5"/>
    <w:rsid w:val="0099189D"/>
    <w:rsid w:val="00993B84"/>
    <w:rsid w:val="00996483"/>
    <w:rsid w:val="00996F5A"/>
    <w:rsid w:val="009B041A"/>
    <w:rsid w:val="009C2E23"/>
    <w:rsid w:val="009C37C3"/>
    <w:rsid w:val="009C7C86"/>
    <w:rsid w:val="009D2FF7"/>
    <w:rsid w:val="009D411B"/>
    <w:rsid w:val="009E7884"/>
    <w:rsid w:val="009E788A"/>
    <w:rsid w:val="009F0E08"/>
    <w:rsid w:val="009F4827"/>
    <w:rsid w:val="00A006A9"/>
    <w:rsid w:val="00A1763D"/>
    <w:rsid w:val="00A17CEC"/>
    <w:rsid w:val="00A216F1"/>
    <w:rsid w:val="00A219DC"/>
    <w:rsid w:val="00A27EF0"/>
    <w:rsid w:val="00A42361"/>
    <w:rsid w:val="00A47AEE"/>
    <w:rsid w:val="00A50B20"/>
    <w:rsid w:val="00A51390"/>
    <w:rsid w:val="00A60D13"/>
    <w:rsid w:val="00A7223D"/>
    <w:rsid w:val="00A72745"/>
    <w:rsid w:val="00A76EFC"/>
    <w:rsid w:val="00A77E19"/>
    <w:rsid w:val="00A91010"/>
    <w:rsid w:val="00A97F29"/>
    <w:rsid w:val="00AA0880"/>
    <w:rsid w:val="00AA702E"/>
    <w:rsid w:val="00AB0964"/>
    <w:rsid w:val="00AB5011"/>
    <w:rsid w:val="00AB6C4F"/>
    <w:rsid w:val="00AC7368"/>
    <w:rsid w:val="00AD16B9"/>
    <w:rsid w:val="00AE377D"/>
    <w:rsid w:val="00AF0EBA"/>
    <w:rsid w:val="00B0055D"/>
    <w:rsid w:val="00B02C8A"/>
    <w:rsid w:val="00B1105B"/>
    <w:rsid w:val="00B111BA"/>
    <w:rsid w:val="00B145CA"/>
    <w:rsid w:val="00B17FBD"/>
    <w:rsid w:val="00B315A6"/>
    <w:rsid w:val="00B31813"/>
    <w:rsid w:val="00B33365"/>
    <w:rsid w:val="00B367C0"/>
    <w:rsid w:val="00B477F9"/>
    <w:rsid w:val="00B54B73"/>
    <w:rsid w:val="00B57B36"/>
    <w:rsid w:val="00B57E6F"/>
    <w:rsid w:val="00B7025D"/>
    <w:rsid w:val="00B763F1"/>
    <w:rsid w:val="00B83BD8"/>
    <w:rsid w:val="00B8686D"/>
    <w:rsid w:val="00B87053"/>
    <w:rsid w:val="00B870E8"/>
    <w:rsid w:val="00B93F69"/>
    <w:rsid w:val="00BA1DFD"/>
    <w:rsid w:val="00BB1DDC"/>
    <w:rsid w:val="00BB7FD3"/>
    <w:rsid w:val="00BC30C9"/>
    <w:rsid w:val="00BC4125"/>
    <w:rsid w:val="00BC7171"/>
    <w:rsid w:val="00BD077D"/>
    <w:rsid w:val="00BD15CB"/>
    <w:rsid w:val="00BD473E"/>
    <w:rsid w:val="00BD4D4E"/>
    <w:rsid w:val="00BE3E58"/>
    <w:rsid w:val="00C00D7B"/>
    <w:rsid w:val="00C01616"/>
    <w:rsid w:val="00C0162B"/>
    <w:rsid w:val="00C068ED"/>
    <w:rsid w:val="00C22E0C"/>
    <w:rsid w:val="00C345B1"/>
    <w:rsid w:val="00C40142"/>
    <w:rsid w:val="00C456BE"/>
    <w:rsid w:val="00C457E3"/>
    <w:rsid w:val="00C52C3C"/>
    <w:rsid w:val="00C53CC0"/>
    <w:rsid w:val="00C57182"/>
    <w:rsid w:val="00C57863"/>
    <w:rsid w:val="00C640AF"/>
    <w:rsid w:val="00C64B99"/>
    <w:rsid w:val="00C655FD"/>
    <w:rsid w:val="00C75407"/>
    <w:rsid w:val="00C870A8"/>
    <w:rsid w:val="00C94434"/>
    <w:rsid w:val="00CA0D75"/>
    <w:rsid w:val="00CA1C95"/>
    <w:rsid w:val="00CA5A9C"/>
    <w:rsid w:val="00CC4C20"/>
    <w:rsid w:val="00CC53D2"/>
    <w:rsid w:val="00CD2292"/>
    <w:rsid w:val="00CD3517"/>
    <w:rsid w:val="00CD5FE2"/>
    <w:rsid w:val="00CE7C68"/>
    <w:rsid w:val="00CF3703"/>
    <w:rsid w:val="00D02B4C"/>
    <w:rsid w:val="00D040C4"/>
    <w:rsid w:val="00D16368"/>
    <w:rsid w:val="00D20AD1"/>
    <w:rsid w:val="00D25409"/>
    <w:rsid w:val="00D46B7E"/>
    <w:rsid w:val="00D57C84"/>
    <w:rsid w:val="00D6057D"/>
    <w:rsid w:val="00D61B8B"/>
    <w:rsid w:val="00D62434"/>
    <w:rsid w:val="00D701CC"/>
    <w:rsid w:val="00D71640"/>
    <w:rsid w:val="00D769D3"/>
    <w:rsid w:val="00D8152A"/>
    <w:rsid w:val="00D836C5"/>
    <w:rsid w:val="00D84576"/>
    <w:rsid w:val="00DA1399"/>
    <w:rsid w:val="00DA24C6"/>
    <w:rsid w:val="00DA4D7B"/>
    <w:rsid w:val="00DB5ACC"/>
    <w:rsid w:val="00DC41DA"/>
    <w:rsid w:val="00DC5B8D"/>
    <w:rsid w:val="00DD271C"/>
    <w:rsid w:val="00DE264A"/>
    <w:rsid w:val="00DF5072"/>
    <w:rsid w:val="00E007E0"/>
    <w:rsid w:val="00E02D18"/>
    <w:rsid w:val="00E041E7"/>
    <w:rsid w:val="00E23CA1"/>
    <w:rsid w:val="00E26BF7"/>
    <w:rsid w:val="00E409A8"/>
    <w:rsid w:val="00E45BAE"/>
    <w:rsid w:val="00E50C12"/>
    <w:rsid w:val="00E63978"/>
    <w:rsid w:val="00E65B91"/>
    <w:rsid w:val="00E7209D"/>
    <w:rsid w:val="00E72EAD"/>
    <w:rsid w:val="00E77223"/>
    <w:rsid w:val="00E8528B"/>
    <w:rsid w:val="00E85B94"/>
    <w:rsid w:val="00E978D0"/>
    <w:rsid w:val="00EA4613"/>
    <w:rsid w:val="00EA7F91"/>
    <w:rsid w:val="00EB1523"/>
    <w:rsid w:val="00EC0E49"/>
    <w:rsid w:val="00EC101F"/>
    <w:rsid w:val="00EC1D9F"/>
    <w:rsid w:val="00EC4854"/>
    <w:rsid w:val="00EE0131"/>
    <w:rsid w:val="00EE17B0"/>
    <w:rsid w:val="00EE4C55"/>
    <w:rsid w:val="00EF06D9"/>
    <w:rsid w:val="00F13DD3"/>
    <w:rsid w:val="00F218A8"/>
    <w:rsid w:val="00F233D7"/>
    <w:rsid w:val="00F27DE3"/>
    <w:rsid w:val="00F30C64"/>
    <w:rsid w:val="00F32BA2"/>
    <w:rsid w:val="00F32CDB"/>
    <w:rsid w:val="00F537E4"/>
    <w:rsid w:val="00F565FE"/>
    <w:rsid w:val="00F63A70"/>
    <w:rsid w:val="00F67D55"/>
    <w:rsid w:val="00F7534E"/>
    <w:rsid w:val="00F75D77"/>
    <w:rsid w:val="00F938E2"/>
    <w:rsid w:val="00F96351"/>
    <w:rsid w:val="00FA1802"/>
    <w:rsid w:val="00FA21D0"/>
    <w:rsid w:val="00FA5F5F"/>
    <w:rsid w:val="00FB730C"/>
    <w:rsid w:val="00FC2695"/>
    <w:rsid w:val="00FC2D68"/>
    <w:rsid w:val="00FC3E03"/>
    <w:rsid w:val="00FC3FC1"/>
    <w:rsid w:val="00FC41C7"/>
    <w:rsid w:val="00FE067D"/>
    <w:rsid w:val="00FF730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table" w:customStyle="1" w:styleId="Estilo1">
    <w:name w:val="Estilo1"/>
    <w:basedOn w:val="Tablanormal"/>
    <w:uiPriority w:val="99"/>
    <w:rsid w:val="009506E2"/>
    <w:pPr>
      <w:spacing w:after="0" w:line="240" w:lineRule="auto"/>
    </w:pPr>
    <w:rPr>
      <w:rFonts w:ascii="Times New Roman" w:hAnsi="Times New Roman"/>
      <w:sz w:val="24"/>
      <w:lang w:val="es-CO"/>
    </w:rPr>
    <w:tblPr>
      <w:tblBorders>
        <w:top w:val="single" w:sz="4" w:space="0" w:color="auto"/>
        <w:bottom w:val="single" w:sz="4" w:space="0" w:color="auto"/>
      </w:tblBorders>
    </w:tblPr>
    <w:tblStylePr w:type="firstRow">
      <w:rPr>
        <w:rFonts w:ascii="Times New Roman" w:hAnsi="Times New Roman" w:cs="Times New Roman" w:hint="default"/>
        <w:sz w:val="24"/>
        <w:szCs w:val="24"/>
      </w:rPr>
      <w:tblPr/>
      <w:tcPr>
        <w:tcBorders>
          <w:bottom w:val="single" w:sz="4" w:space="0" w:color="auto"/>
        </w:tcBorders>
      </w:tcPr>
    </w:tblStylePr>
  </w:style>
  <w:style w:type="character" w:customStyle="1" w:styleId="UnresolvedMention">
    <w:name w:val="Unresolved Mention"/>
    <w:basedOn w:val="Fuentedeprrafopredeter"/>
    <w:uiPriority w:val="99"/>
    <w:semiHidden/>
    <w:unhideWhenUsed/>
    <w:rsid w:val="009506E2"/>
    <w:rPr>
      <w:color w:val="605E5C"/>
      <w:shd w:val="clear" w:color="auto" w:fill="E1DFDD"/>
    </w:rPr>
  </w:style>
  <w:style w:type="paragraph" w:styleId="Revisin">
    <w:name w:val="Revision"/>
    <w:hidden/>
    <w:uiPriority w:val="99"/>
    <w:semiHidden/>
    <w:rsid w:val="009506E2"/>
    <w:pPr>
      <w:spacing w:after="0" w:line="240" w:lineRule="auto"/>
    </w:pPr>
    <w:rPr>
      <w:rFonts w:ascii="Arial" w:eastAsia="Times New Roman" w:hAnsi="Arial" w:cs="Times New Roman"/>
      <w:sz w:val="18"/>
      <w:szCs w:val="20"/>
      <w:lang w:val="en-GB"/>
    </w:rPr>
  </w:style>
  <w:style w:type="character" w:styleId="Hipervnculovisitado">
    <w:name w:val="FollowedHyperlink"/>
    <w:basedOn w:val="Fuentedeprrafopredeter"/>
    <w:uiPriority w:val="99"/>
    <w:semiHidden/>
    <w:unhideWhenUsed/>
    <w:rsid w:val="009506E2"/>
    <w:rPr>
      <w:color w:val="800080" w:themeColor="followedHyperlink"/>
      <w:u w:val="single"/>
    </w:rPr>
  </w:style>
  <w:style w:type="character" w:customStyle="1" w:styleId="apple-converted-space">
    <w:name w:val="apple-converted-space"/>
    <w:basedOn w:val="Fuentedeprrafopredeter"/>
    <w:rsid w:val="009506E2"/>
  </w:style>
  <w:style w:type="character" w:customStyle="1" w:styleId="highlight">
    <w:name w:val="highlight"/>
    <w:basedOn w:val="Fuentedeprrafopredeter"/>
    <w:rsid w:val="009506E2"/>
  </w:style>
  <w:style w:type="character" w:styleId="nfasis">
    <w:name w:val="Emphasis"/>
    <w:basedOn w:val="Fuentedeprrafopredeter"/>
    <w:uiPriority w:val="20"/>
    <w:qFormat/>
    <w:rsid w:val="00CC53D2"/>
    <w:rPr>
      <w:i/>
      <w:iCs/>
    </w:rPr>
  </w:style>
  <w:style w:type="character" w:styleId="Textoennegrita">
    <w:name w:val="Strong"/>
    <w:basedOn w:val="Fuentedeprrafopredeter"/>
    <w:uiPriority w:val="22"/>
    <w:qFormat/>
    <w:rsid w:val="00940AD7"/>
    <w:rPr>
      <w:b/>
      <w:bCs/>
    </w:rPr>
  </w:style>
  <w:style w:type="table" w:styleId="Cuadrculadetablaclara">
    <w:name w:val="Grid Table Light"/>
    <w:basedOn w:val="Tablanormal"/>
    <w:uiPriority w:val="40"/>
    <w:rsid w:val="008E40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3144">
      <w:bodyDiv w:val="1"/>
      <w:marLeft w:val="0"/>
      <w:marRight w:val="0"/>
      <w:marTop w:val="0"/>
      <w:marBottom w:val="0"/>
      <w:divBdr>
        <w:top w:val="none" w:sz="0" w:space="0" w:color="auto"/>
        <w:left w:val="none" w:sz="0" w:space="0" w:color="auto"/>
        <w:bottom w:val="none" w:sz="0" w:space="0" w:color="auto"/>
        <w:right w:val="none" w:sz="0" w:space="0" w:color="auto"/>
      </w:divBdr>
    </w:div>
    <w:div w:id="300353645">
      <w:bodyDiv w:val="1"/>
      <w:marLeft w:val="0"/>
      <w:marRight w:val="0"/>
      <w:marTop w:val="0"/>
      <w:marBottom w:val="0"/>
      <w:divBdr>
        <w:top w:val="none" w:sz="0" w:space="0" w:color="auto"/>
        <w:left w:val="none" w:sz="0" w:space="0" w:color="auto"/>
        <w:bottom w:val="none" w:sz="0" w:space="0" w:color="auto"/>
        <w:right w:val="none" w:sz="0" w:space="0" w:color="auto"/>
      </w:divBdr>
      <w:divsChild>
        <w:div w:id="404037679">
          <w:marLeft w:val="0"/>
          <w:marRight w:val="0"/>
          <w:marTop w:val="0"/>
          <w:marBottom w:val="0"/>
          <w:divBdr>
            <w:top w:val="none" w:sz="0" w:space="0" w:color="auto"/>
            <w:left w:val="none" w:sz="0" w:space="0" w:color="auto"/>
            <w:bottom w:val="none" w:sz="0" w:space="0" w:color="auto"/>
            <w:right w:val="none" w:sz="0" w:space="0" w:color="auto"/>
          </w:divBdr>
          <w:divsChild>
            <w:div w:id="1779835920">
              <w:marLeft w:val="0"/>
              <w:marRight w:val="0"/>
              <w:marTop w:val="0"/>
              <w:marBottom w:val="0"/>
              <w:divBdr>
                <w:top w:val="none" w:sz="0" w:space="0" w:color="auto"/>
                <w:left w:val="none" w:sz="0" w:space="0" w:color="auto"/>
                <w:bottom w:val="none" w:sz="0" w:space="0" w:color="auto"/>
                <w:right w:val="none" w:sz="0" w:space="0" w:color="auto"/>
              </w:divBdr>
            </w:div>
          </w:divsChild>
        </w:div>
        <w:div w:id="768087709">
          <w:marLeft w:val="0"/>
          <w:marRight w:val="0"/>
          <w:marTop w:val="0"/>
          <w:marBottom w:val="0"/>
          <w:divBdr>
            <w:top w:val="none" w:sz="0" w:space="0" w:color="auto"/>
            <w:left w:val="none" w:sz="0" w:space="0" w:color="auto"/>
            <w:bottom w:val="none" w:sz="0" w:space="0" w:color="auto"/>
            <w:right w:val="none" w:sz="0" w:space="0" w:color="auto"/>
          </w:divBdr>
        </w:div>
      </w:divsChild>
    </w:div>
    <w:div w:id="496769708">
      <w:bodyDiv w:val="1"/>
      <w:marLeft w:val="0"/>
      <w:marRight w:val="0"/>
      <w:marTop w:val="0"/>
      <w:marBottom w:val="0"/>
      <w:divBdr>
        <w:top w:val="none" w:sz="0" w:space="0" w:color="auto"/>
        <w:left w:val="none" w:sz="0" w:space="0" w:color="auto"/>
        <w:bottom w:val="none" w:sz="0" w:space="0" w:color="auto"/>
        <w:right w:val="none" w:sz="0" w:space="0" w:color="auto"/>
      </w:divBdr>
    </w:div>
    <w:div w:id="501625327">
      <w:bodyDiv w:val="1"/>
      <w:marLeft w:val="0"/>
      <w:marRight w:val="0"/>
      <w:marTop w:val="0"/>
      <w:marBottom w:val="0"/>
      <w:divBdr>
        <w:top w:val="none" w:sz="0" w:space="0" w:color="auto"/>
        <w:left w:val="none" w:sz="0" w:space="0" w:color="auto"/>
        <w:bottom w:val="none" w:sz="0" w:space="0" w:color="auto"/>
        <w:right w:val="none" w:sz="0" w:space="0" w:color="auto"/>
      </w:divBdr>
    </w:div>
    <w:div w:id="768745269">
      <w:bodyDiv w:val="1"/>
      <w:marLeft w:val="0"/>
      <w:marRight w:val="0"/>
      <w:marTop w:val="0"/>
      <w:marBottom w:val="0"/>
      <w:divBdr>
        <w:top w:val="none" w:sz="0" w:space="0" w:color="auto"/>
        <w:left w:val="none" w:sz="0" w:space="0" w:color="auto"/>
        <w:bottom w:val="none" w:sz="0" w:space="0" w:color="auto"/>
        <w:right w:val="none" w:sz="0" w:space="0" w:color="auto"/>
      </w:divBdr>
      <w:divsChild>
        <w:div w:id="1057554639">
          <w:marLeft w:val="0"/>
          <w:marRight w:val="0"/>
          <w:marTop w:val="0"/>
          <w:marBottom w:val="0"/>
          <w:divBdr>
            <w:top w:val="none" w:sz="0" w:space="0" w:color="auto"/>
            <w:left w:val="none" w:sz="0" w:space="0" w:color="auto"/>
            <w:bottom w:val="none" w:sz="0" w:space="0" w:color="auto"/>
            <w:right w:val="none" w:sz="0" w:space="0" w:color="auto"/>
          </w:divBdr>
          <w:divsChild>
            <w:div w:id="179904225">
              <w:marLeft w:val="0"/>
              <w:marRight w:val="0"/>
              <w:marTop w:val="0"/>
              <w:marBottom w:val="0"/>
              <w:divBdr>
                <w:top w:val="none" w:sz="0" w:space="0" w:color="auto"/>
                <w:left w:val="none" w:sz="0" w:space="0" w:color="auto"/>
                <w:bottom w:val="none" w:sz="0" w:space="0" w:color="auto"/>
                <w:right w:val="none" w:sz="0" w:space="0" w:color="auto"/>
              </w:divBdr>
            </w:div>
          </w:divsChild>
        </w:div>
        <w:div w:id="141898336">
          <w:marLeft w:val="0"/>
          <w:marRight w:val="0"/>
          <w:marTop w:val="0"/>
          <w:marBottom w:val="0"/>
          <w:divBdr>
            <w:top w:val="none" w:sz="0" w:space="0" w:color="auto"/>
            <w:left w:val="none" w:sz="0" w:space="0" w:color="auto"/>
            <w:bottom w:val="none" w:sz="0" w:space="0" w:color="auto"/>
            <w:right w:val="none" w:sz="0" w:space="0" w:color="auto"/>
          </w:divBdr>
        </w:div>
      </w:divsChild>
    </w:div>
    <w:div w:id="773014142">
      <w:bodyDiv w:val="1"/>
      <w:marLeft w:val="0"/>
      <w:marRight w:val="0"/>
      <w:marTop w:val="0"/>
      <w:marBottom w:val="0"/>
      <w:divBdr>
        <w:top w:val="none" w:sz="0" w:space="0" w:color="auto"/>
        <w:left w:val="none" w:sz="0" w:space="0" w:color="auto"/>
        <w:bottom w:val="none" w:sz="0" w:space="0" w:color="auto"/>
        <w:right w:val="none" w:sz="0" w:space="0" w:color="auto"/>
      </w:divBdr>
      <w:divsChild>
        <w:div w:id="1239289974">
          <w:marLeft w:val="0"/>
          <w:marRight w:val="0"/>
          <w:marTop w:val="0"/>
          <w:marBottom w:val="0"/>
          <w:divBdr>
            <w:top w:val="none" w:sz="0" w:space="0" w:color="auto"/>
            <w:left w:val="none" w:sz="0" w:space="0" w:color="auto"/>
            <w:bottom w:val="none" w:sz="0" w:space="0" w:color="auto"/>
            <w:right w:val="none" w:sz="0" w:space="0" w:color="auto"/>
          </w:divBdr>
          <w:divsChild>
            <w:div w:id="569387630">
              <w:marLeft w:val="0"/>
              <w:marRight w:val="0"/>
              <w:marTop w:val="0"/>
              <w:marBottom w:val="0"/>
              <w:divBdr>
                <w:top w:val="none" w:sz="0" w:space="0" w:color="auto"/>
                <w:left w:val="none" w:sz="0" w:space="0" w:color="auto"/>
                <w:bottom w:val="none" w:sz="0" w:space="0" w:color="auto"/>
                <w:right w:val="none" w:sz="0" w:space="0" w:color="auto"/>
              </w:divBdr>
            </w:div>
          </w:divsChild>
        </w:div>
        <w:div w:id="82725884">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32166">
      <w:bodyDiv w:val="1"/>
      <w:marLeft w:val="0"/>
      <w:marRight w:val="0"/>
      <w:marTop w:val="0"/>
      <w:marBottom w:val="0"/>
      <w:divBdr>
        <w:top w:val="none" w:sz="0" w:space="0" w:color="auto"/>
        <w:left w:val="none" w:sz="0" w:space="0" w:color="auto"/>
        <w:bottom w:val="none" w:sz="0" w:space="0" w:color="auto"/>
        <w:right w:val="none" w:sz="0" w:space="0" w:color="auto"/>
      </w:divBdr>
      <w:divsChild>
        <w:div w:id="360711548">
          <w:marLeft w:val="0"/>
          <w:marRight w:val="0"/>
          <w:marTop w:val="0"/>
          <w:marBottom w:val="0"/>
          <w:divBdr>
            <w:top w:val="none" w:sz="0" w:space="0" w:color="auto"/>
            <w:left w:val="none" w:sz="0" w:space="0" w:color="auto"/>
            <w:bottom w:val="none" w:sz="0" w:space="0" w:color="auto"/>
            <w:right w:val="none" w:sz="0" w:space="0" w:color="auto"/>
          </w:divBdr>
          <w:divsChild>
            <w:div w:id="2024357546">
              <w:marLeft w:val="0"/>
              <w:marRight w:val="0"/>
              <w:marTop w:val="0"/>
              <w:marBottom w:val="0"/>
              <w:divBdr>
                <w:top w:val="none" w:sz="0" w:space="0" w:color="auto"/>
                <w:left w:val="none" w:sz="0" w:space="0" w:color="auto"/>
                <w:bottom w:val="none" w:sz="0" w:space="0" w:color="auto"/>
                <w:right w:val="none" w:sz="0" w:space="0" w:color="auto"/>
              </w:divBdr>
            </w:div>
          </w:divsChild>
        </w:div>
        <w:div w:id="1862552850">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265464">
      <w:bodyDiv w:val="1"/>
      <w:marLeft w:val="0"/>
      <w:marRight w:val="0"/>
      <w:marTop w:val="0"/>
      <w:marBottom w:val="0"/>
      <w:divBdr>
        <w:top w:val="none" w:sz="0" w:space="0" w:color="auto"/>
        <w:left w:val="none" w:sz="0" w:space="0" w:color="auto"/>
        <w:bottom w:val="none" w:sz="0" w:space="0" w:color="auto"/>
        <w:right w:val="none" w:sz="0" w:space="0" w:color="auto"/>
      </w:divBdr>
      <w:divsChild>
        <w:div w:id="229342707">
          <w:marLeft w:val="0"/>
          <w:marRight w:val="0"/>
          <w:marTop w:val="0"/>
          <w:marBottom w:val="0"/>
          <w:divBdr>
            <w:top w:val="none" w:sz="0" w:space="0" w:color="auto"/>
            <w:left w:val="none" w:sz="0" w:space="0" w:color="auto"/>
            <w:bottom w:val="none" w:sz="0" w:space="0" w:color="auto"/>
            <w:right w:val="none" w:sz="0" w:space="0" w:color="auto"/>
          </w:divBdr>
          <w:divsChild>
            <w:div w:id="1484811238">
              <w:marLeft w:val="0"/>
              <w:marRight w:val="0"/>
              <w:marTop w:val="0"/>
              <w:marBottom w:val="0"/>
              <w:divBdr>
                <w:top w:val="none" w:sz="0" w:space="0" w:color="auto"/>
                <w:left w:val="none" w:sz="0" w:space="0" w:color="auto"/>
                <w:bottom w:val="none" w:sz="0" w:space="0" w:color="auto"/>
                <w:right w:val="none" w:sz="0" w:space="0" w:color="auto"/>
              </w:divBdr>
            </w:div>
          </w:divsChild>
        </w:div>
        <w:div w:id="1849439058">
          <w:marLeft w:val="0"/>
          <w:marRight w:val="0"/>
          <w:marTop w:val="0"/>
          <w:marBottom w:val="0"/>
          <w:divBdr>
            <w:top w:val="none" w:sz="0" w:space="0" w:color="auto"/>
            <w:left w:val="none" w:sz="0" w:space="0" w:color="auto"/>
            <w:bottom w:val="none" w:sz="0" w:space="0" w:color="auto"/>
            <w:right w:val="none" w:sz="0" w:space="0" w:color="auto"/>
          </w:divBdr>
        </w:div>
      </w:divsChild>
    </w:div>
    <w:div w:id="1624070005">
      <w:bodyDiv w:val="1"/>
      <w:marLeft w:val="0"/>
      <w:marRight w:val="0"/>
      <w:marTop w:val="0"/>
      <w:marBottom w:val="0"/>
      <w:divBdr>
        <w:top w:val="none" w:sz="0" w:space="0" w:color="auto"/>
        <w:left w:val="none" w:sz="0" w:space="0" w:color="auto"/>
        <w:bottom w:val="none" w:sz="0" w:space="0" w:color="auto"/>
        <w:right w:val="none" w:sz="0" w:space="0" w:color="auto"/>
      </w:divBdr>
      <w:divsChild>
        <w:div w:id="1597328735">
          <w:marLeft w:val="0"/>
          <w:marRight w:val="0"/>
          <w:marTop w:val="0"/>
          <w:marBottom w:val="0"/>
          <w:divBdr>
            <w:top w:val="none" w:sz="0" w:space="0" w:color="auto"/>
            <w:left w:val="none" w:sz="0" w:space="0" w:color="auto"/>
            <w:bottom w:val="none" w:sz="0" w:space="0" w:color="auto"/>
            <w:right w:val="none" w:sz="0" w:space="0" w:color="auto"/>
          </w:divBdr>
          <w:divsChild>
            <w:div w:id="674263003">
              <w:marLeft w:val="0"/>
              <w:marRight w:val="0"/>
              <w:marTop w:val="0"/>
              <w:marBottom w:val="0"/>
              <w:divBdr>
                <w:top w:val="none" w:sz="0" w:space="0" w:color="auto"/>
                <w:left w:val="none" w:sz="0" w:space="0" w:color="auto"/>
                <w:bottom w:val="none" w:sz="0" w:space="0" w:color="auto"/>
                <w:right w:val="none" w:sz="0" w:space="0" w:color="auto"/>
              </w:divBdr>
            </w:div>
          </w:divsChild>
        </w:div>
        <w:div w:id="1106585068">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6146">
      <w:bodyDiv w:val="1"/>
      <w:marLeft w:val="0"/>
      <w:marRight w:val="0"/>
      <w:marTop w:val="0"/>
      <w:marBottom w:val="0"/>
      <w:divBdr>
        <w:top w:val="none" w:sz="0" w:space="0" w:color="auto"/>
        <w:left w:val="none" w:sz="0" w:space="0" w:color="auto"/>
        <w:bottom w:val="none" w:sz="0" w:space="0" w:color="auto"/>
        <w:right w:val="none" w:sz="0" w:space="0" w:color="auto"/>
      </w:divBdr>
      <w:divsChild>
        <w:div w:id="1917864499">
          <w:marLeft w:val="0"/>
          <w:marRight w:val="0"/>
          <w:marTop w:val="0"/>
          <w:marBottom w:val="0"/>
          <w:divBdr>
            <w:top w:val="none" w:sz="0" w:space="0" w:color="auto"/>
            <w:left w:val="none" w:sz="0" w:space="0" w:color="auto"/>
            <w:bottom w:val="none" w:sz="0" w:space="0" w:color="auto"/>
            <w:right w:val="none" w:sz="0" w:space="0" w:color="auto"/>
          </w:divBdr>
          <w:divsChild>
            <w:div w:id="174538879">
              <w:marLeft w:val="0"/>
              <w:marRight w:val="0"/>
              <w:marTop w:val="0"/>
              <w:marBottom w:val="0"/>
              <w:divBdr>
                <w:top w:val="none" w:sz="0" w:space="0" w:color="auto"/>
                <w:left w:val="none" w:sz="0" w:space="0" w:color="auto"/>
                <w:bottom w:val="none" w:sz="0" w:space="0" w:color="auto"/>
                <w:right w:val="none" w:sz="0" w:space="0" w:color="auto"/>
              </w:divBdr>
            </w:div>
          </w:divsChild>
        </w:div>
        <w:div w:id="927424505">
          <w:marLeft w:val="0"/>
          <w:marRight w:val="0"/>
          <w:marTop w:val="0"/>
          <w:marBottom w:val="0"/>
          <w:divBdr>
            <w:top w:val="none" w:sz="0" w:space="0" w:color="auto"/>
            <w:left w:val="none" w:sz="0" w:space="0" w:color="auto"/>
            <w:bottom w:val="none" w:sz="0" w:space="0" w:color="auto"/>
            <w:right w:val="none" w:sz="0" w:space="0" w:color="auto"/>
          </w:divBdr>
        </w:div>
      </w:divsChild>
    </w:div>
    <w:div w:id="1971325445">
      <w:bodyDiv w:val="1"/>
      <w:marLeft w:val="0"/>
      <w:marRight w:val="0"/>
      <w:marTop w:val="0"/>
      <w:marBottom w:val="0"/>
      <w:divBdr>
        <w:top w:val="none" w:sz="0" w:space="0" w:color="auto"/>
        <w:left w:val="none" w:sz="0" w:space="0" w:color="auto"/>
        <w:bottom w:val="none" w:sz="0" w:space="0" w:color="auto"/>
        <w:right w:val="none" w:sz="0" w:space="0" w:color="auto"/>
      </w:divBdr>
      <w:divsChild>
        <w:div w:id="510492065">
          <w:marLeft w:val="0"/>
          <w:marRight w:val="0"/>
          <w:marTop w:val="0"/>
          <w:marBottom w:val="0"/>
          <w:divBdr>
            <w:top w:val="none" w:sz="0" w:space="0" w:color="auto"/>
            <w:left w:val="none" w:sz="0" w:space="0" w:color="auto"/>
            <w:bottom w:val="none" w:sz="0" w:space="0" w:color="auto"/>
            <w:right w:val="none" w:sz="0" w:space="0" w:color="auto"/>
          </w:divBdr>
          <w:divsChild>
            <w:div w:id="134612596">
              <w:marLeft w:val="0"/>
              <w:marRight w:val="0"/>
              <w:marTop w:val="0"/>
              <w:marBottom w:val="0"/>
              <w:divBdr>
                <w:top w:val="none" w:sz="0" w:space="0" w:color="auto"/>
                <w:left w:val="none" w:sz="0" w:space="0" w:color="auto"/>
                <w:bottom w:val="none" w:sz="0" w:space="0" w:color="auto"/>
                <w:right w:val="none" w:sz="0" w:space="0" w:color="auto"/>
              </w:divBdr>
            </w:div>
          </w:divsChild>
        </w:div>
        <w:div w:id="636685579">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an.orozco1@correo.uis.edu.c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B1E7-150B-420D-B8EA-F335AE1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3673</Words>
  <Characters>20939</Characters>
  <Application>Microsoft Office Word</Application>
  <DocSecurity>0</DocSecurity>
  <Lines>174</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Juan Carlos</cp:lastModifiedBy>
  <cp:revision>11</cp:revision>
  <cp:lastPrinted>2015-05-12T18:31:00Z</cp:lastPrinted>
  <dcterms:created xsi:type="dcterms:W3CDTF">2022-08-11T05:17:00Z</dcterms:created>
  <dcterms:modified xsi:type="dcterms:W3CDTF">2022-08-19T04:46:00Z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66d7c12b-fac6-3f8b-a6b2-c1313fc8f852</vt:lpwstr>
  </property>
  <property fmtid="{D5CDD505-2E9C-101B-9397-08002B2CF9AE}" pid="26" name="Mendeley Citation Style_1">
    <vt:lpwstr>http://www.zotero.org/styles/apa</vt:lpwstr>
  </property>
</Properties>
</file>